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5BA" w14:textId="0DD18A70" w:rsidR="004E74E3" w:rsidRPr="00A96BEC" w:rsidRDefault="00871BDA" w:rsidP="00871BDA">
      <w:pPr>
        <w:pStyle w:val="Heading2"/>
        <w:rPr>
          <w:lang w:val="sr-Cyrl-RS"/>
        </w:rPr>
      </w:pPr>
      <w:r w:rsidRPr="00A96BEC">
        <w:rPr>
          <w:lang w:val="sr-Cyrl-RS"/>
        </w:rPr>
        <w:t>1.1.1 Извод из Пословника народне скупштине</w:t>
      </w:r>
    </w:p>
    <w:p w14:paraId="3AB8A49C" w14:textId="588FB7CE" w:rsidR="00871BDA" w:rsidRPr="00A96BEC" w:rsidRDefault="00871BDA" w:rsidP="00871BDA">
      <w:pPr>
        <w:rPr>
          <w:lang w:val="sr-Cyrl-RS"/>
        </w:rPr>
      </w:pPr>
    </w:p>
    <w:p w14:paraId="40EE92AA" w14:textId="77777777" w:rsidR="00871BDA" w:rsidRPr="00A96BEC" w:rsidRDefault="00871BDA" w:rsidP="00871BDA">
      <w:pPr>
        <w:jc w:val="center"/>
        <w:rPr>
          <w:b/>
          <w:lang w:val="sr-Cyrl-RS"/>
        </w:rPr>
      </w:pPr>
      <w:r w:rsidRPr="00A96BEC">
        <w:rPr>
          <w:b/>
          <w:lang w:val="sr-Cyrl-RS"/>
        </w:rPr>
        <w:t>IХ. ПОСТУПЦИ ЗА ДОНОШЕЊЕ АКАТА И ДРУГИ ПОСТУПЦИ</w:t>
      </w:r>
    </w:p>
    <w:p w14:paraId="1B7D543C" w14:textId="77777777" w:rsidR="00871BDA" w:rsidRPr="00A96BEC" w:rsidRDefault="00871BDA" w:rsidP="00871BDA">
      <w:pPr>
        <w:jc w:val="center"/>
        <w:rPr>
          <w:b/>
          <w:lang w:val="sr-Cyrl-RS"/>
        </w:rPr>
      </w:pPr>
      <w:r w:rsidRPr="00A96BEC">
        <w:rPr>
          <w:b/>
          <w:lang w:val="sr-Cyrl-RS"/>
        </w:rPr>
        <w:t>2. Поступак за доношење закона</w:t>
      </w:r>
    </w:p>
    <w:p w14:paraId="3215386C" w14:textId="77777777" w:rsidR="00871BDA" w:rsidRPr="00A96BEC" w:rsidRDefault="00871BDA" w:rsidP="00871BDA">
      <w:pPr>
        <w:jc w:val="center"/>
        <w:rPr>
          <w:b/>
          <w:lang w:val="sr-Cyrl-RS"/>
        </w:rPr>
      </w:pPr>
      <w:r w:rsidRPr="00A96BEC">
        <w:rPr>
          <w:b/>
          <w:lang w:val="sr-Cyrl-RS"/>
        </w:rPr>
        <w:t>Члан 150.</w:t>
      </w:r>
    </w:p>
    <w:p w14:paraId="73224AAB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Право предлагања закона и других општих аката имају сваки народни посланик, Влада, скупштина аутономне покрајине или најмање 30.000 бирача. </w:t>
      </w:r>
    </w:p>
    <w:p w14:paraId="05976E3F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- Заштитник грађана и Народна банка Србије имају право предлагања закона из своје надлежности. </w:t>
      </w:r>
    </w:p>
    <w:p w14:paraId="1D6D1E90" w14:textId="77777777" w:rsidR="00871BDA" w:rsidRPr="00A96BEC" w:rsidRDefault="00871BDA" w:rsidP="00871BDA">
      <w:pPr>
        <w:jc w:val="center"/>
        <w:rPr>
          <w:b/>
          <w:lang w:val="sr-Cyrl-RS"/>
        </w:rPr>
      </w:pPr>
      <w:r w:rsidRPr="00A96BEC">
        <w:rPr>
          <w:b/>
          <w:lang w:val="sr-Cyrl-RS"/>
        </w:rPr>
        <w:t>Члан 151.</w:t>
      </w:r>
    </w:p>
    <w:p w14:paraId="7E3A2C36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Овлашћени предлагач закона подноси предлог закона у облику у коме се закон доноси, с образложењем. Образложење садржи: </w:t>
      </w:r>
    </w:p>
    <w:p w14:paraId="18BF12C6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1) уставни, односно правни основ за доношење прописа; </w:t>
      </w:r>
    </w:p>
    <w:p w14:paraId="753FF2D8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2) разлоге за доношење прописа, а у оквиру њих посебно: анализу садашњег стања, проблеме које пропис треба да реши, циљеве који се прописом постижу, разматране могућности да се проблем реши и без доношења прописа и одговор на питање зашто је доношење прописа најбољи начин за решавање проблема; </w:t>
      </w:r>
    </w:p>
    <w:p w14:paraId="31543C29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3) објашњење основних правних института и појединачних решења; </w:t>
      </w:r>
    </w:p>
    <w:p w14:paraId="0794B5C2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4) процену финансијских средстава потребних за спровођење прописа, која обухвата и изворе обезбеђења тих средстава; </w:t>
      </w:r>
    </w:p>
    <w:p w14:paraId="6F0D842D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5) општи интерес због којег се предлаже повратно дејство, ако предлог закона садржи одредбе с повратним дејством; </w:t>
      </w:r>
    </w:p>
    <w:p w14:paraId="7494B518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6) разлоге за доношење закона по хитном поступку, ако је за доношење закона предложен хитни поступак; </w:t>
      </w:r>
    </w:p>
    <w:p w14:paraId="07F45893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7) разлоге због којих се предлаже да пропис ступи на снагу пре осмог дана од дана објављивања у „Службеном гласнику Републике Србије”; </w:t>
      </w:r>
    </w:p>
    <w:p w14:paraId="43F6C6CF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8) преглед одредаба важећег прописа које се мењају, односно допуњују (припрема се тако што се прецртава део текста који се мења, а нови текст уписује великим словима). </w:t>
      </w:r>
    </w:p>
    <w:p w14:paraId="6D35D102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Образложење може да садржи и анализу ефеката прописа, која садржи следећа објашњења: на кога ће и како ће највероватније утицати решења у пропису, какве трошкове ће примена прописа створити грађанима и привреди (нарочито малим и средњим предузећима), да ли су позитивне последице доношења прописа такве да оправдавају трошкове које ће он створити, да ли се прописом подржава стварање нових привредних субјеката на тржишту и тржишна конкуренција, да ли су све заинтересоване стране имале прилику да се изјасне о пропису и које ће се мере током примене прописа предузети да би се остварило оно што се доношењем прописа намерава. </w:t>
      </w:r>
    </w:p>
    <w:p w14:paraId="44A02373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lastRenderedPageBreak/>
        <w:t xml:space="preserve">Уз предлог закона, предлагач доставља изјаву да је предлог закона усклађен с прописима Европске уније, или да не постоји обавеза усклађивања, или да закон није могуће ускладити с прописима Европске уније, и табелу о усклађености предлога закона с прописима Европске уније. </w:t>
      </w:r>
    </w:p>
    <w:p w14:paraId="4E7CD801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>- Ако је предлагач закона група народних посланика, уз предлог мора бити назначен представник предлагача. Ако то није учињено, сматра се да је представник предлагача први потписани народни посланик.</w:t>
      </w:r>
    </w:p>
    <w:p w14:paraId="2677876A" w14:textId="77777777" w:rsidR="00871BDA" w:rsidRPr="00A96BEC" w:rsidRDefault="00871BDA" w:rsidP="00871BDA">
      <w:pPr>
        <w:jc w:val="center"/>
        <w:rPr>
          <w:b/>
          <w:lang w:val="sr-Cyrl-RS"/>
        </w:rPr>
      </w:pPr>
      <w:r w:rsidRPr="00A96BEC">
        <w:rPr>
          <w:b/>
          <w:lang w:val="sr-Cyrl-RS"/>
        </w:rPr>
        <w:t>11. Поступак за доношење јединствених методолошких правила за израду прописа</w:t>
      </w:r>
    </w:p>
    <w:p w14:paraId="5292BA4F" w14:textId="77777777" w:rsidR="00871BDA" w:rsidRPr="00A96BEC" w:rsidRDefault="00871BDA" w:rsidP="00871BDA">
      <w:pPr>
        <w:jc w:val="center"/>
        <w:rPr>
          <w:lang w:val="sr-Cyrl-RS"/>
        </w:rPr>
      </w:pPr>
      <w:r w:rsidRPr="00A96BEC">
        <w:rPr>
          <w:b/>
          <w:lang w:val="sr-Cyrl-RS"/>
        </w:rPr>
        <w:t>Члан 196</w:t>
      </w:r>
      <w:r w:rsidRPr="00A96BEC">
        <w:rPr>
          <w:lang w:val="sr-Cyrl-RS"/>
        </w:rPr>
        <w:t>.</w:t>
      </w:r>
    </w:p>
    <w:p w14:paraId="62024981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Предлог за доношење јединствених методолошких правила за израду прописа, односно предлог за њихову измену и допуну, може да поднесе члан надлежног одбора. </w:t>
      </w:r>
    </w:p>
    <w:p w14:paraId="0CCACDC8" w14:textId="0293D43D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Ако надлежни одбор оцени да је предлог из става 1. овог члана оправдан, </w:t>
      </w:r>
      <w:r w:rsidR="00A96BEC" w:rsidRPr="00A96BEC">
        <w:rPr>
          <w:lang w:val="sr-Cyrl-RS"/>
        </w:rPr>
        <w:t>приступа</w:t>
      </w:r>
      <w:r w:rsidRPr="00A96BEC">
        <w:rPr>
          <w:lang w:val="sr-Cyrl-RS"/>
        </w:rPr>
        <w:t xml:space="preserve"> његовој изради и о томе обавештава подносиоца предлога. </w:t>
      </w:r>
    </w:p>
    <w:p w14:paraId="5B45250E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>Ако надлежни одбор оцени да предлог из става 1. овог члана није оправдан, о томе обавештава подносиоца предлога.</w:t>
      </w:r>
    </w:p>
    <w:p w14:paraId="06AB7B28" w14:textId="77777777" w:rsidR="00871BDA" w:rsidRPr="00A96BEC" w:rsidRDefault="00871BDA" w:rsidP="00871BDA">
      <w:pPr>
        <w:rPr>
          <w:lang w:val="sr-Cyrl-RS"/>
        </w:rPr>
      </w:pPr>
    </w:p>
    <w:p w14:paraId="7BA064AD" w14:textId="77777777" w:rsidR="00871BDA" w:rsidRPr="00A96BEC" w:rsidRDefault="00871BDA" w:rsidP="00871BDA">
      <w:pPr>
        <w:jc w:val="center"/>
        <w:rPr>
          <w:b/>
          <w:lang w:val="sr-Cyrl-RS"/>
        </w:rPr>
      </w:pPr>
      <w:r w:rsidRPr="00A96BEC">
        <w:rPr>
          <w:b/>
          <w:lang w:val="sr-Cyrl-RS"/>
        </w:rPr>
        <w:t>Х. ИЗВОРНИЦИ И ОБЈАВЉИВАЊЕ АКАТА НАРОДНЕ СКУПШТИНЕ</w:t>
      </w:r>
    </w:p>
    <w:p w14:paraId="53433510" w14:textId="77777777" w:rsidR="00871BDA" w:rsidRPr="00A96BEC" w:rsidRDefault="00871BDA" w:rsidP="00871BDA">
      <w:pPr>
        <w:jc w:val="center"/>
        <w:rPr>
          <w:b/>
          <w:lang w:val="sr-Cyrl-RS"/>
        </w:rPr>
      </w:pPr>
      <w:r w:rsidRPr="00A96BEC">
        <w:rPr>
          <w:b/>
          <w:lang w:val="sr-Cyrl-RS"/>
        </w:rPr>
        <w:t xml:space="preserve">Члан 247. </w:t>
      </w:r>
    </w:p>
    <w:p w14:paraId="54577629" w14:textId="77777777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 xml:space="preserve">Закони и други акти Народне скупштине и Јединствена методолошка правила за израду прописа надлежног одбора Народне скупштине објављују се у "Службеном гласнику Републике Србије". </w:t>
      </w:r>
    </w:p>
    <w:p w14:paraId="3A5CEA72" w14:textId="7C41D304" w:rsidR="00871BDA" w:rsidRPr="00A96BEC" w:rsidRDefault="00871BDA" w:rsidP="00871BDA">
      <w:pPr>
        <w:rPr>
          <w:lang w:val="sr-Cyrl-RS"/>
        </w:rPr>
      </w:pPr>
      <w:r w:rsidRPr="00A96BEC">
        <w:rPr>
          <w:lang w:val="sr-Cyrl-RS"/>
        </w:rPr>
        <w:t>Одлуке Одбора за административно-буџетска и мандатно</w:t>
      </w:r>
      <w:r w:rsidR="00A96BEC">
        <w:rPr>
          <w:lang w:val="sr-Cyrl-RS"/>
        </w:rPr>
        <w:t>-</w:t>
      </w:r>
      <w:r w:rsidRPr="00A96BEC">
        <w:rPr>
          <w:lang w:val="sr-Cyrl-RS"/>
        </w:rPr>
        <w:t>имунитетска питања објављују се у "Службеном гласнику Републике Србије", ако то Одбор одлучи.</w:t>
      </w:r>
    </w:p>
    <w:p w14:paraId="1C8B5073" w14:textId="77777777" w:rsidR="00871BDA" w:rsidRPr="00A96BEC" w:rsidRDefault="00871BDA" w:rsidP="00871BDA">
      <w:pPr>
        <w:rPr>
          <w:lang w:val="sr-Cyrl-RS"/>
        </w:rPr>
      </w:pPr>
    </w:p>
    <w:p w14:paraId="6078815F" w14:textId="77777777" w:rsidR="00871BDA" w:rsidRPr="00A96BEC" w:rsidRDefault="00871BDA" w:rsidP="00871BDA">
      <w:pPr>
        <w:rPr>
          <w:lang w:val="sr-Cyrl-RS"/>
        </w:rPr>
      </w:pPr>
    </w:p>
    <w:sectPr w:rsidR="00871BDA" w:rsidRPr="00A96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86BA" w14:textId="77777777" w:rsidR="00C03B68" w:rsidRDefault="00C03B68" w:rsidP="00A14BAF">
      <w:pPr>
        <w:spacing w:after="0" w:line="240" w:lineRule="auto"/>
      </w:pPr>
      <w:r>
        <w:separator/>
      </w:r>
    </w:p>
  </w:endnote>
  <w:endnote w:type="continuationSeparator" w:id="0">
    <w:p w14:paraId="68887B4A" w14:textId="77777777" w:rsidR="00C03B68" w:rsidRDefault="00C03B68" w:rsidP="00A1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7137" w14:textId="77777777" w:rsidR="00D0683C" w:rsidRDefault="00D06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CBB0" w14:textId="77777777" w:rsidR="00D0683C" w:rsidRDefault="00D06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30A5" w14:textId="77777777" w:rsidR="00D0683C" w:rsidRDefault="00D0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CD02" w14:textId="77777777" w:rsidR="00C03B68" w:rsidRDefault="00C03B68" w:rsidP="00A14BAF">
      <w:pPr>
        <w:spacing w:after="0" w:line="240" w:lineRule="auto"/>
      </w:pPr>
      <w:r>
        <w:separator/>
      </w:r>
    </w:p>
  </w:footnote>
  <w:footnote w:type="continuationSeparator" w:id="0">
    <w:p w14:paraId="558C21C4" w14:textId="77777777" w:rsidR="00C03B68" w:rsidRDefault="00C03B68" w:rsidP="00A1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AD22" w14:textId="77777777" w:rsidR="00D0683C" w:rsidRDefault="00D06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C59F" w14:textId="7CFB1288" w:rsidR="00A14BAF" w:rsidRDefault="00A14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B9D8" w14:textId="77777777" w:rsidR="00D0683C" w:rsidRDefault="00D06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25D"/>
    <w:multiLevelType w:val="hybridMultilevel"/>
    <w:tmpl w:val="AB6AA96A"/>
    <w:lvl w:ilvl="0" w:tplc="9B2EB60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249E"/>
    <w:multiLevelType w:val="hybridMultilevel"/>
    <w:tmpl w:val="6B5074B4"/>
    <w:lvl w:ilvl="0" w:tplc="362C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5AB"/>
    <w:multiLevelType w:val="hybridMultilevel"/>
    <w:tmpl w:val="064272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5FB8"/>
    <w:multiLevelType w:val="hybridMultilevel"/>
    <w:tmpl w:val="55342378"/>
    <w:lvl w:ilvl="0" w:tplc="A318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11C5F"/>
    <w:multiLevelType w:val="hybridMultilevel"/>
    <w:tmpl w:val="1B6C4A02"/>
    <w:lvl w:ilvl="0" w:tplc="5B564E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0596137">
    <w:abstractNumId w:val="1"/>
  </w:num>
  <w:num w:numId="2" w16cid:durableId="1337884302">
    <w:abstractNumId w:val="2"/>
  </w:num>
  <w:num w:numId="3" w16cid:durableId="1029141169">
    <w:abstractNumId w:val="3"/>
  </w:num>
  <w:num w:numId="4" w16cid:durableId="728695210">
    <w:abstractNumId w:val="4"/>
  </w:num>
  <w:num w:numId="5" w16cid:durableId="117565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F2"/>
    <w:rsid w:val="00055BB4"/>
    <w:rsid w:val="000910E7"/>
    <w:rsid w:val="000B29DA"/>
    <w:rsid w:val="0013678D"/>
    <w:rsid w:val="001F1DC5"/>
    <w:rsid w:val="00287AAC"/>
    <w:rsid w:val="0029178A"/>
    <w:rsid w:val="002E1341"/>
    <w:rsid w:val="00314817"/>
    <w:rsid w:val="003D3403"/>
    <w:rsid w:val="004D7323"/>
    <w:rsid w:val="004E74E3"/>
    <w:rsid w:val="00535E75"/>
    <w:rsid w:val="00592ECE"/>
    <w:rsid w:val="006A0112"/>
    <w:rsid w:val="007159F0"/>
    <w:rsid w:val="0076565A"/>
    <w:rsid w:val="00765E94"/>
    <w:rsid w:val="0077614F"/>
    <w:rsid w:val="00871BDA"/>
    <w:rsid w:val="009F0BBB"/>
    <w:rsid w:val="00A05BCD"/>
    <w:rsid w:val="00A1492F"/>
    <w:rsid w:val="00A14BAF"/>
    <w:rsid w:val="00A4739A"/>
    <w:rsid w:val="00A96BEC"/>
    <w:rsid w:val="00AF56C5"/>
    <w:rsid w:val="00AF56F5"/>
    <w:rsid w:val="00B25EF2"/>
    <w:rsid w:val="00BC105B"/>
    <w:rsid w:val="00C03B68"/>
    <w:rsid w:val="00C30C7C"/>
    <w:rsid w:val="00CA4B42"/>
    <w:rsid w:val="00CD7BB7"/>
    <w:rsid w:val="00D0683C"/>
    <w:rsid w:val="00DA3031"/>
    <w:rsid w:val="00DF35A2"/>
    <w:rsid w:val="00E72491"/>
    <w:rsid w:val="00E80FBB"/>
    <w:rsid w:val="00EE0028"/>
    <w:rsid w:val="00F273B4"/>
    <w:rsid w:val="00F32D29"/>
    <w:rsid w:val="00F562EE"/>
    <w:rsid w:val="00FA1805"/>
    <w:rsid w:val="00FD78F3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E21DE"/>
  <w15:chartTrackingRefBased/>
  <w15:docId w15:val="{093E8BD3-59D1-4C10-A41A-09154192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5EF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5EF2"/>
  </w:style>
  <w:style w:type="paragraph" w:styleId="BalloonText">
    <w:name w:val="Balloon Text"/>
    <w:basedOn w:val="Normal"/>
    <w:link w:val="BalloonTextChar"/>
    <w:uiPriority w:val="99"/>
    <w:semiHidden/>
    <w:unhideWhenUsed/>
    <w:rsid w:val="0031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AF"/>
  </w:style>
  <w:style w:type="paragraph" w:styleId="Footer">
    <w:name w:val="footer"/>
    <w:basedOn w:val="Normal"/>
    <w:link w:val="FooterChar"/>
    <w:uiPriority w:val="99"/>
    <w:unhideWhenUsed/>
    <w:rsid w:val="00A1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AF"/>
  </w:style>
  <w:style w:type="character" w:styleId="CommentReference">
    <w:name w:val="annotation reference"/>
    <w:basedOn w:val="DefaultParagraphFont"/>
    <w:uiPriority w:val="99"/>
    <w:unhideWhenUsed/>
    <w:rsid w:val="000B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D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1B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FC6F075B744D8F0600430F662B01" ma:contentTypeVersion="16" ma:contentTypeDescription="Create a new document." ma:contentTypeScope="" ma:versionID="f151202e045ac929b88785df1e0e1126">
  <xsd:schema xmlns:xsd="http://www.w3.org/2001/XMLSchema" xmlns:xs="http://www.w3.org/2001/XMLSchema" xmlns:p="http://schemas.microsoft.com/office/2006/metadata/properties" xmlns:ns2="896caa5b-0bb1-438c-a3be-57f1d7153d59" xmlns:ns3="0b765e2e-2e9d-4515-a5da-3d1a8417d8ec" targetNamespace="http://schemas.microsoft.com/office/2006/metadata/properties" ma:root="true" ma:fieldsID="707020dec6acea427436d01450d6655b" ns2:_="" ns3:_="">
    <xsd:import namespace="896caa5b-0bb1-438c-a3be-57f1d7153d59"/>
    <xsd:import namespace="0b765e2e-2e9d-4515-a5da-3d1a8417d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aa5b-0bb1-438c-a3be-57f1d7153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b26f70-1f2b-44e2-ae56-ec0e4ee0a0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65e2e-2e9d-4515-a5da-3d1a8417d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ec171-6752-43dd-bdb1-253352c70b48}" ma:internalName="TaxCatchAll" ma:showField="CatchAllData" ma:web="0b765e2e-2e9d-4515-a5da-3d1a8417d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65e2e-2e9d-4515-a5da-3d1a8417d8ec" xsi:nil="true"/>
    <lcf76f155ced4ddcb4097134ff3c332f xmlns="896caa5b-0bb1-438c-a3be-57f1d7153d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7C0EAF-1610-4CF0-9200-47B80BED0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92542-1DBB-47CC-A6ED-7240140FB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caa5b-0bb1-438c-a3be-57f1d7153d59"/>
    <ds:schemaRef ds:uri="0b765e2e-2e9d-4515-a5da-3d1a8417d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F3B90-3820-4650-8268-2EEA227A36CD}">
  <ds:schemaRefs>
    <ds:schemaRef ds:uri="http://schemas.microsoft.com/office/2006/metadata/properties"/>
    <ds:schemaRef ds:uri="http://schemas.microsoft.com/office/infopath/2007/PartnerControls"/>
    <ds:schemaRef ds:uri="0b765e2e-2e9d-4515-a5da-3d1a8417d8ec"/>
    <ds:schemaRef ds:uri="896caa5b-0bb1-438c-a3be-57f1d7153d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Radojević</dc:creator>
  <cp:keywords/>
  <dc:description/>
  <cp:lastModifiedBy>Igor Jerković</cp:lastModifiedBy>
  <cp:revision>5</cp:revision>
  <cp:lastPrinted>2019-06-20T07:56:00Z</cp:lastPrinted>
  <dcterms:created xsi:type="dcterms:W3CDTF">2022-11-17T16:23:00Z</dcterms:created>
  <dcterms:modified xsi:type="dcterms:W3CDTF">2023-03-03T14:28:00Z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0x0101009D94FC6F075B744D8F0600430F662B01</vt:lpwstr>
  </property>
</Properties>
</file>