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F6FB" w14:textId="18079B3C" w:rsidR="00C7566D" w:rsidRPr="00B03771" w:rsidRDefault="00F52728" w:rsidP="00C7566D">
      <w:pPr>
        <w:autoSpaceDE w:val="0"/>
        <w:autoSpaceDN w:val="0"/>
        <w:adjustRightInd w:val="0"/>
        <w:rPr>
          <w:rFonts w:ascii="Arial" w:hAnsi="Arial" w:cs="Arial"/>
          <w:b/>
          <w:color w:val="0070C0"/>
        </w:rPr>
      </w:pPr>
      <w:r>
        <w:rPr>
          <w:rFonts w:ascii="Arial" w:hAnsi="Arial" w:cs="Arial"/>
          <w:b/>
          <w:color w:val="0070C0"/>
          <w:lang w:val="en-GB"/>
        </w:rPr>
        <w:t>10</w:t>
      </w:r>
      <w:r w:rsidR="00C7566D" w:rsidRPr="00B03771">
        <w:rPr>
          <w:rFonts w:ascii="Arial" w:hAnsi="Arial" w:cs="Arial"/>
          <w:b/>
          <w:color w:val="0070C0"/>
        </w:rPr>
        <w:t>.1</w:t>
      </w:r>
      <w:r w:rsidR="00D11E73">
        <w:rPr>
          <w:rFonts w:ascii="Arial" w:hAnsi="Arial" w:cs="Arial"/>
          <w:b/>
          <w:color w:val="0070C0"/>
        </w:rPr>
        <w:t>0</w:t>
      </w:r>
      <w:r w:rsidR="00C7566D" w:rsidRPr="00B03771">
        <w:rPr>
          <w:rFonts w:ascii="Arial" w:hAnsi="Arial" w:cs="Arial"/>
          <w:b/>
          <w:color w:val="0070C0"/>
        </w:rPr>
        <w:t>.</w:t>
      </w:r>
      <w:r w:rsidR="00146EC7">
        <w:rPr>
          <w:rFonts w:ascii="Arial" w:hAnsi="Arial" w:cs="Arial"/>
          <w:b/>
          <w:color w:val="0070C0"/>
        </w:rPr>
        <w:t>1</w:t>
      </w:r>
      <w:r w:rsidR="00C7566D" w:rsidRPr="00B03771">
        <w:rPr>
          <w:rFonts w:ascii="Arial" w:hAnsi="Arial" w:cs="Arial"/>
          <w:b/>
          <w:color w:val="0070C0"/>
        </w:rPr>
        <w:t xml:space="preserve">. </w:t>
      </w:r>
      <w:r w:rsidR="00146EC7" w:rsidRPr="00146EC7">
        <w:rPr>
          <w:rFonts w:ascii="Arial" w:hAnsi="Arial" w:cs="Arial"/>
          <w:b/>
          <w:color w:val="0070C0"/>
        </w:rPr>
        <w:t>Веза елемената ПФЕ обрасца и обрачуна трошкова</w:t>
      </w:r>
    </w:p>
    <w:tbl>
      <w:tblPr>
        <w:tblStyle w:val="TableGrid8"/>
        <w:tblW w:w="5000" w:type="pct"/>
        <w:tblLook w:val="04A0" w:firstRow="1" w:lastRow="0" w:firstColumn="1" w:lastColumn="0" w:noHBand="0" w:noVBand="1"/>
      </w:tblPr>
      <w:tblGrid>
        <w:gridCol w:w="1975"/>
        <w:gridCol w:w="1576"/>
        <w:gridCol w:w="5799"/>
      </w:tblGrid>
      <w:tr w:rsidR="00146EC7" w:rsidRPr="00DB0BA6" w14:paraId="06E820E0" w14:textId="77777777" w:rsidTr="00675055">
        <w:tc>
          <w:tcPr>
            <w:tcW w:w="1056" w:type="pct"/>
            <w:shd w:val="clear" w:color="auto" w:fill="F2F2F2"/>
            <w:vAlign w:val="center"/>
          </w:tcPr>
          <w:p w14:paraId="5D7B888D" w14:textId="77777777" w:rsidR="00146EC7" w:rsidRPr="00DB0BA6" w:rsidRDefault="00146EC7" w:rsidP="00675055">
            <w:pPr>
              <w:contextualSpacing/>
              <w:jc w:val="center"/>
              <w:rPr>
                <w:rFonts w:ascii="Arial" w:hAnsi="Arial" w:cs="Arial"/>
                <w:i/>
                <w:iCs/>
                <w:sz w:val="18"/>
                <w:szCs w:val="18"/>
              </w:rPr>
            </w:pPr>
            <w:r w:rsidRPr="00DB0BA6">
              <w:rPr>
                <w:rFonts w:ascii="Arial" w:hAnsi="Arial" w:cs="Arial"/>
                <w:i/>
                <w:iCs/>
                <w:sz w:val="18"/>
                <w:szCs w:val="18"/>
              </w:rPr>
              <w:t>Елементи Обрасца ПФЕ</w:t>
            </w:r>
          </w:p>
        </w:tc>
        <w:tc>
          <w:tcPr>
            <w:tcW w:w="843" w:type="pct"/>
            <w:shd w:val="clear" w:color="auto" w:fill="F2F2F2"/>
            <w:vAlign w:val="center"/>
          </w:tcPr>
          <w:p w14:paraId="67327A10" w14:textId="77777777" w:rsidR="00146EC7" w:rsidRPr="00DB0BA6" w:rsidRDefault="00146EC7" w:rsidP="00675055">
            <w:pPr>
              <w:contextualSpacing/>
              <w:jc w:val="center"/>
              <w:rPr>
                <w:rFonts w:ascii="Arial" w:hAnsi="Arial" w:cs="Arial"/>
                <w:i/>
                <w:iCs/>
                <w:sz w:val="18"/>
                <w:szCs w:val="18"/>
              </w:rPr>
            </w:pPr>
            <w:r w:rsidRPr="00DB0BA6">
              <w:rPr>
                <w:rFonts w:ascii="Arial" w:hAnsi="Arial" w:cs="Arial"/>
                <w:i/>
                <w:iCs/>
                <w:sz w:val="18"/>
                <w:szCs w:val="18"/>
              </w:rPr>
              <w:t>Елементи табеле за обрачун трошкова</w:t>
            </w:r>
          </w:p>
        </w:tc>
        <w:tc>
          <w:tcPr>
            <w:tcW w:w="3101" w:type="pct"/>
            <w:shd w:val="clear" w:color="auto" w:fill="F2F2F2"/>
            <w:vAlign w:val="center"/>
          </w:tcPr>
          <w:p w14:paraId="1681A6C9" w14:textId="77777777" w:rsidR="00146EC7" w:rsidRPr="00DB0BA6" w:rsidRDefault="00146EC7" w:rsidP="00675055">
            <w:pPr>
              <w:contextualSpacing/>
              <w:jc w:val="center"/>
              <w:rPr>
                <w:rFonts w:ascii="Arial" w:hAnsi="Arial" w:cs="Arial"/>
                <w:i/>
                <w:iCs/>
                <w:sz w:val="18"/>
                <w:szCs w:val="18"/>
              </w:rPr>
            </w:pPr>
            <w:r w:rsidRPr="00DB0BA6">
              <w:rPr>
                <w:rFonts w:ascii="Arial" w:hAnsi="Arial" w:cs="Arial"/>
                <w:i/>
                <w:iCs/>
                <w:sz w:val="18"/>
                <w:szCs w:val="18"/>
              </w:rPr>
              <w:t>ПОВЕЗАНОСТ</w:t>
            </w:r>
          </w:p>
        </w:tc>
      </w:tr>
      <w:tr w:rsidR="00146EC7" w:rsidRPr="00DB0BA6" w14:paraId="016E243C" w14:textId="77777777" w:rsidTr="00675055">
        <w:tc>
          <w:tcPr>
            <w:tcW w:w="1056" w:type="pct"/>
          </w:tcPr>
          <w:p w14:paraId="1241D92A"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Део 2.3: Промена расхода и издатака, 41 – Расходи за запослене</w:t>
            </w:r>
          </w:p>
        </w:tc>
        <w:tc>
          <w:tcPr>
            <w:tcW w:w="843" w:type="pct"/>
          </w:tcPr>
          <w:p w14:paraId="0334E50C"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Део табеле за обрачун трошкова: Плате, накнаде и доприноси</w:t>
            </w:r>
          </w:p>
        </w:tc>
        <w:tc>
          <w:tcPr>
            <w:tcW w:w="3101" w:type="pct"/>
          </w:tcPr>
          <w:p w14:paraId="1F43A719"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Обрачун трошкова ангажов</w:t>
            </w:r>
            <w:r>
              <w:rPr>
                <w:rFonts w:ascii="Arial" w:hAnsi="Arial" w:cs="Arial"/>
                <w:sz w:val="18"/>
                <w:szCs w:val="18"/>
              </w:rPr>
              <w:t>а</w:t>
            </w:r>
            <w:r w:rsidRPr="00DB0BA6">
              <w:rPr>
                <w:rFonts w:ascii="Arial" w:hAnsi="Arial" w:cs="Arial"/>
                <w:sz w:val="18"/>
                <w:szCs w:val="18"/>
              </w:rPr>
              <w:t>ња додатно запослених у табели за обрачун трошкова омогућава органу да на методолошки систематичан начин, разлагањем мера на ниже нивое агрегације, потпуније сагледа додатан број људи које је потребно ангажовати како би се обезбедило спровођење документа јавне политике. Подаци о додатном броју људи које је потребно запослити су у директној вези са исказивањем промене на позицији расхода и издатака у ПФЕ обрасцу – економска класификација 41 Расходи за запослене</w:t>
            </w:r>
          </w:p>
        </w:tc>
      </w:tr>
      <w:tr w:rsidR="00146EC7" w:rsidRPr="00DB0BA6" w14:paraId="5748DC45" w14:textId="77777777" w:rsidTr="00675055">
        <w:tc>
          <w:tcPr>
            <w:tcW w:w="1056" w:type="pct"/>
          </w:tcPr>
          <w:p w14:paraId="7970B41C"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Део 2.3: Промена расхода и издатака, 42 – Коришћење роба и услуга</w:t>
            </w:r>
          </w:p>
        </w:tc>
        <w:tc>
          <w:tcPr>
            <w:tcW w:w="843" w:type="pct"/>
          </w:tcPr>
          <w:p w14:paraId="73BA9DB7"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Део табеле за обрачун трошкова: Робе и услуге</w:t>
            </w:r>
          </w:p>
        </w:tc>
        <w:tc>
          <w:tcPr>
            <w:tcW w:w="3101" w:type="pct"/>
          </w:tcPr>
          <w:p w14:paraId="5941717C"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Обрачун трошкова роба и услуга у табели обрачуна трошкова омогућава органу да на методолошки систематичан начин разлагањем мера на ниже нивое агрегације потпуније сагледа трошкове који ће настати набавком роба и услуга за потребе спровођења документа јавне политике.</w:t>
            </w:r>
          </w:p>
          <w:p w14:paraId="3EAB9390"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Подаци у категорији робе и услуге су у директној вези са исказивањем промене на позицији расхода и издатака у ПФЕ обрасцу – економска класификација 42 Коришћење услуга и роба</w:t>
            </w:r>
          </w:p>
        </w:tc>
      </w:tr>
      <w:tr w:rsidR="00146EC7" w:rsidRPr="00DB0BA6" w14:paraId="4DC6C239" w14:textId="77777777" w:rsidTr="00675055">
        <w:tc>
          <w:tcPr>
            <w:tcW w:w="1056" w:type="pct"/>
          </w:tcPr>
          <w:p w14:paraId="21371E8E"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Део 2.3: Промена расхода и издатака, 46 – Донације, дотације, трансфери</w:t>
            </w:r>
          </w:p>
        </w:tc>
        <w:tc>
          <w:tcPr>
            <w:tcW w:w="843" w:type="pct"/>
          </w:tcPr>
          <w:p w14:paraId="5A9BFF1B"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Део табеле за обрачун трошкова:</w:t>
            </w:r>
          </w:p>
          <w:p w14:paraId="2D96A0A0"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Други трошкови</w:t>
            </w:r>
          </w:p>
        </w:tc>
        <w:tc>
          <w:tcPr>
            <w:tcW w:w="3101" w:type="pct"/>
          </w:tcPr>
          <w:p w14:paraId="069CF099"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У табели обрачуна трошкова у делу Други трошкови се приказује износ трансфера који ће се пребацити другим нивоима власти за сваку предложену активност.</w:t>
            </w:r>
          </w:p>
        </w:tc>
      </w:tr>
      <w:tr w:rsidR="00146EC7" w:rsidRPr="00DB0BA6" w14:paraId="2CD80421" w14:textId="77777777" w:rsidTr="00675055">
        <w:tc>
          <w:tcPr>
            <w:tcW w:w="1056" w:type="pct"/>
            <w:vMerge w:val="restart"/>
          </w:tcPr>
          <w:p w14:paraId="5D15D7BA"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Део 2.3: Промена расхода и издатака</w:t>
            </w:r>
          </w:p>
          <w:p w14:paraId="2A01DE4D"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48 – Остали расходи</w:t>
            </w:r>
          </w:p>
        </w:tc>
        <w:tc>
          <w:tcPr>
            <w:tcW w:w="843" w:type="pct"/>
          </w:tcPr>
          <w:p w14:paraId="24BA00BF"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 xml:space="preserve">Део табеле за обрачун трошкова: </w:t>
            </w:r>
          </w:p>
          <w:p w14:paraId="0EBB71E3"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Други трошкови</w:t>
            </w:r>
          </w:p>
        </w:tc>
        <w:tc>
          <w:tcPr>
            <w:tcW w:w="3101" w:type="pct"/>
          </w:tcPr>
          <w:p w14:paraId="480CC46A"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Орган један део средстава може реализовати преко конта Министарства 48 – остали расходи – кроз на пример дотације невладиним организацијама. У табели обрачуна трошкова у делу Други трошкови се приказује износ средстава које орган може реализовати путем конкурса за невладине организације</w:t>
            </w:r>
          </w:p>
        </w:tc>
      </w:tr>
      <w:tr w:rsidR="00146EC7" w:rsidRPr="00DB0BA6" w14:paraId="03D44FA6" w14:textId="77777777" w:rsidTr="00675055">
        <w:tc>
          <w:tcPr>
            <w:tcW w:w="1056" w:type="pct"/>
            <w:vMerge/>
          </w:tcPr>
          <w:p w14:paraId="762335DC" w14:textId="77777777" w:rsidR="00146EC7" w:rsidRPr="00DB0BA6" w:rsidRDefault="00146EC7" w:rsidP="00675055">
            <w:pPr>
              <w:contextualSpacing/>
              <w:rPr>
                <w:rFonts w:ascii="Arial" w:hAnsi="Arial" w:cs="Arial"/>
                <w:sz w:val="18"/>
                <w:szCs w:val="18"/>
              </w:rPr>
            </w:pPr>
          </w:p>
        </w:tc>
        <w:tc>
          <w:tcPr>
            <w:tcW w:w="843" w:type="pct"/>
          </w:tcPr>
          <w:p w14:paraId="3FD62AE3"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Део табеле за обрачун трошкова: Инвестиције</w:t>
            </w:r>
          </w:p>
        </w:tc>
        <w:tc>
          <w:tcPr>
            <w:tcW w:w="3101" w:type="pct"/>
          </w:tcPr>
          <w:p w14:paraId="16382AF2"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У табели обрачуна трошкова део Инвестиције садржи податке о инвестицијама у зграде, нове објекте. За потребе инвестиција средства  се могу трансферисати другим нивоима власти или невладиним организацијама (што се повезује са контом 46 – дотације, донације и трансфери ПФЕ обрасца).</w:t>
            </w:r>
          </w:p>
        </w:tc>
      </w:tr>
      <w:tr w:rsidR="00146EC7" w:rsidRPr="00DB0BA6" w14:paraId="12C858F0" w14:textId="77777777" w:rsidTr="00675055">
        <w:tc>
          <w:tcPr>
            <w:tcW w:w="1056" w:type="pct"/>
          </w:tcPr>
          <w:p w14:paraId="03003C98"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Део 2.3: Промена расхода и издатака, 51 – Основна средства</w:t>
            </w:r>
          </w:p>
        </w:tc>
        <w:tc>
          <w:tcPr>
            <w:tcW w:w="843" w:type="pct"/>
          </w:tcPr>
          <w:p w14:paraId="3B2149EB"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Део табеле за обрачун трошкова: Инвестиције</w:t>
            </w:r>
          </w:p>
        </w:tc>
        <w:tc>
          <w:tcPr>
            <w:tcW w:w="3101" w:type="pct"/>
          </w:tcPr>
          <w:p w14:paraId="071D86C8" w14:textId="77777777" w:rsidR="00146EC7" w:rsidRPr="00DB0BA6" w:rsidRDefault="00146EC7" w:rsidP="00675055">
            <w:pPr>
              <w:contextualSpacing/>
              <w:rPr>
                <w:rFonts w:ascii="Arial" w:hAnsi="Arial" w:cs="Arial"/>
                <w:sz w:val="18"/>
                <w:szCs w:val="18"/>
              </w:rPr>
            </w:pPr>
            <w:r w:rsidRPr="00DB0BA6">
              <w:rPr>
                <w:rFonts w:ascii="Arial" w:hAnsi="Arial" w:cs="Arial"/>
                <w:sz w:val="18"/>
                <w:szCs w:val="18"/>
              </w:rPr>
              <w:t>У табели обрачуна трошкова део Инвестиције садржи податке о инвестицијама у зграде, нове објекте, али и набавку опреме или основних средстава. Подаци у категорији Инвестиције су у директној вези са исказивањем промене на позицији расхода и издатака у ПФЕ обрасцу – економска класификација 51 Основна средства.</w:t>
            </w:r>
          </w:p>
        </w:tc>
      </w:tr>
    </w:tbl>
    <w:p w14:paraId="1794B55A" w14:textId="7FE0A316" w:rsidR="00AE5813" w:rsidRPr="00CE353D" w:rsidRDefault="00AE5813" w:rsidP="00C7566D"/>
    <w:sectPr w:rsidR="00AE5813" w:rsidRPr="00CE353D" w:rsidSect="00D15F88">
      <w:headerReference w:type="even" r:id="rId10"/>
      <w:headerReference w:type="default" r:id="rId11"/>
      <w:footerReference w:type="even" r:id="rId12"/>
      <w:footerReference w:type="default" r:id="rId13"/>
      <w:headerReference w:type="first" r:id="rId14"/>
      <w:footerReference w:type="first" r:id="rId15"/>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01C0" w14:textId="77777777" w:rsidR="002A00E9" w:rsidRDefault="002A00E9" w:rsidP="006D73A7">
      <w:r>
        <w:separator/>
      </w:r>
    </w:p>
  </w:endnote>
  <w:endnote w:type="continuationSeparator" w:id="0">
    <w:p w14:paraId="52B37DDE" w14:textId="77777777" w:rsidR="002A00E9" w:rsidRDefault="002A00E9" w:rsidP="006D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swiss"/>
    <w:notTrueType/>
    <w:pitch w:val="default"/>
    <w:sig w:usb0="00000003" w:usb1="08070000" w:usb2="00000010" w:usb3="00000000" w:csb0="00020001" w:csb1="00000000"/>
  </w:font>
  <w:font w:name="Symbo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D1B8" w14:textId="77777777" w:rsidR="00B91D5D" w:rsidRDefault="00B9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9638" w14:textId="77777777" w:rsidR="00B91D5D" w:rsidRDefault="00B91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709C" w14:textId="77777777" w:rsidR="00B91D5D" w:rsidRDefault="00B9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647F" w14:textId="77777777" w:rsidR="002A00E9" w:rsidRDefault="002A00E9" w:rsidP="006D73A7">
      <w:r>
        <w:separator/>
      </w:r>
    </w:p>
  </w:footnote>
  <w:footnote w:type="continuationSeparator" w:id="0">
    <w:p w14:paraId="1E28E19D" w14:textId="77777777" w:rsidR="002A00E9" w:rsidRDefault="002A00E9" w:rsidP="006D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E7C9" w14:textId="77777777" w:rsidR="00B91D5D" w:rsidRDefault="00B9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6A68" w14:textId="45848FC7" w:rsidR="00A0492E" w:rsidRDefault="00A0492E" w:rsidP="006D7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85EB" w14:textId="77777777" w:rsidR="00B91D5D" w:rsidRDefault="00B9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378"/>
    <w:multiLevelType w:val="hybridMultilevel"/>
    <w:tmpl w:val="91F015E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1BBB0C29"/>
    <w:multiLevelType w:val="multilevel"/>
    <w:tmpl w:val="B8341BB6"/>
    <w:lvl w:ilvl="0">
      <w:start w:val="1"/>
      <w:numFmt w:val="bullet"/>
      <w:lvlText w:val=""/>
      <w:lvlJc w:val="left"/>
      <w:pPr>
        <w:ind w:left="720" w:hanging="72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Arial" w:eastAsia="Arial" w:hAnsi="Arial" w:cs="Arial" w:hint="default"/>
        <w:b/>
        <w:bCs/>
        <w:i w:val="0"/>
        <w:iCs w:val="0"/>
        <w:color w:val="B8313C"/>
        <w:spacing w:val="-1"/>
        <w:w w:val="100"/>
        <w:sz w:val="28"/>
        <w:szCs w:val="28"/>
      </w:rPr>
    </w:lvl>
    <w:lvl w:ilvl="3">
      <w:numFmt w:val="bullet"/>
      <w:lvlText w:val="-"/>
      <w:lvlJc w:val="left"/>
      <w:pPr>
        <w:ind w:left="788" w:hanging="360"/>
      </w:pPr>
      <w:rPr>
        <w:rFonts w:ascii="Calibri" w:eastAsia="Calibri" w:hAnsi="Calibri" w:cs="Calibri" w:hint="default"/>
        <w:b w:val="0"/>
        <w:bCs w:val="0"/>
        <w:i w:val="0"/>
        <w:iCs w:val="0"/>
        <w:w w:val="100"/>
        <w:sz w:val="22"/>
        <w:szCs w:val="22"/>
      </w:rPr>
    </w:lvl>
    <w:lvl w:ilvl="4">
      <w:numFmt w:val="bullet"/>
      <w:lvlText w:val="•"/>
      <w:lvlJc w:val="left"/>
      <w:pPr>
        <w:ind w:left="3883" w:hanging="360"/>
      </w:pPr>
      <w:rPr>
        <w:rFonts w:hint="default"/>
      </w:rPr>
    </w:lvl>
    <w:lvl w:ilvl="5">
      <w:numFmt w:val="bullet"/>
      <w:lvlText w:val="•"/>
      <w:lvlJc w:val="left"/>
      <w:pPr>
        <w:ind w:left="4917" w:hanging="360"/>
      </w:pPr>
      <w:rPr>
        <w:rFonts w:hint="default"/>
      </w:rPr>
    </w:lvl>
    <w:lvl w:ilvl="6">
      <w:numFmt w:val="bullet"/>
      <w:lvlText w:val="•"/>
      <w:lvlJc w:val="left"/>
      <w:pPr>
        <w:ind w:left="5951" w:hanging="360"/>
      </w:pPr>
      <w:rPr>
        <w:rFonts w:hint="default"/>
      </w:rPr>
    </w:lvl>
    <w:lvl w:ilvl="7">
      <w:numFmt w:val="bullet"/>
      <w:lvlText w:val="•"/>
      <w:lvlJc w:val="left"/>
      <w:pPr>
        <w:ind w:left="6985" w:hanging="360"/>
      </w:pPr>
      <w:rPr>
        <w:rFonts w:hint="default"/>
      </w:rPr>
    </w:lvl>
    <w:lvl w:ilvl="8">
      <w:numFmt w:val="bullet"/>
      <w:lvlText w:val="•"/>
      <w:lvlJc w:val="left"/>
      <w:pPr>
        <w:ind w:left="8019" w:hanging="360"/>
      </w:pPr>
      <w:rPr>
        <w:rFonts w:hint="default"/>
      </w:rPr>
    </w:lvl>
  </w:abstractNum>
  <w:abstractNum w:abstractNumId="2" w15:restartNumberingAfterBreak="0">
    <w:nsid w:val="33ED55F8"/>
    <w:multiLevelType w:val="hybridMultilevel"/>
    <w:tmpl w:val="93C4523E"/>
    <w:lvl w:ilvl="0" w:tplc="91780A7A">
      <w:numFmt w:val="bullet"/>
      <w:lvlText w:val=""/>
      <w:lvlJc w:val="left"/>
      <w:pPr>
        <w:ind w:left="840" w:hanging="361"/>
      </w:pPr>
      <w:rPr>
        <w:rFonts w:ascii="Symbol" w:eastAsia="Symbol" w:hAnsi="Symbol" w:cs="Symbol" w:hint="default"/>
        <w:b/>
        <w:bCs/>
        <w:i w:val="0"/>
        <w:iCs w:val="0"/>
        <w:color w:val="B8313C"/>
        <w:w w:val="100"/>
        <w:sz w:val="22"/>
        <w:szCs w:val="22"/>
      </w:rPr>
    </w:lvl>
    <w:lvl w:ilvl="1" w:tplc="41361C64">
      <w:numFmt w:val="bullet"/>
      <w:lvlText w:val="•"/>
      <w:lvlJc w:val="left"/>
      <w:pPr>
        <w:ind w:left="1812" w:hanging="361"/>
      </w:pPr>
      <w:rPr>
        <w:rFonts w:hint="default"/>
      </w:rPr>
    </w:lvl>
    <w:lvl w:ilvl="2" w:tplc="7AAA5634">
      <w:numFmt w:val="bullet"/>
      <w:lvlText w:val="•"/>
      <w:lvlJc w:val="left"/>
      <w:pPr>
        <w:ind w:left="2785" w:hanging="361"/>
      </w:pPr>
      <w:rPr>
        <w:rFonts w:hint="default"/>
      </w:rPr>
    </w:lvl>
    <w:lvl w:ilvl="3" w:tplc="6C845FE6">
      <w:numFmt w:val="bullet"/>
      <w:lvlText w:val="•"/>
      <w:lvlJc w:val="left"/>
      <w:pPr>
        <w:ind w:left="3757" w:hanging="361"/>
      </w:pPr>
      <w:rPr>
        <w:rFonts w:hint="default"/>
      </w:rPr>
    </w:lvl>
    <w:lvl w:ilvl="4" w:tplc="6B180070">
      <w:numFmt w:val="bullet"/>
      <w:lvlText w:val="•"/>
      <w:lvlJc w:val="left"/>
      <w:pPr>
        <w:ind w:left="4730" w:hanging="361"/>
      </w:pPr>
      <w:rPr>
        <w:rFonts w:hint="default"/>
      </w:rPr>
    </w:lvl>
    <w:lvl w:ilvl="5" w:tplc="201C3EF4">
      <w:numFmt w:val="bullet"/>
      <w:lvlText w:val="•"/>
      <w:lvlJc w:val="left"/>
      <w:pPr>
        <w:ind w:left="5703" w:hanging="361"/>
      </w:pPr>
      <w:rPr>
        <w:rFonts w:hint="default"/>
      </w:rPr>
    </w:lvl>
    <w:lvl w:ilvl="6" w:tplc="90D8294A">
      <w:numFmt w:val="bullet"/>
      <w:lvlText w:val="•"/>
      <w:lvlJc w:val="left"/>
      <w:pPr>
        <w:ind w:left="6675" w:hanging="361"/>
      </w:pPr>
      <w:rPr>
        <w:rFonts w:hint="default"/>
      </w:rPr>
    </w:lvl>
    <w:lvl w:ilvl="7" w:tplc="56346A96">
      <w:numFmt w:val="bullet"/>
      <w:lvlText w:val="•"/>
      <w:lvlJc w:val="left"/>
      <w:pPr>
        <w:ind w:left="7648" w:hanging="361"/>
      </w:pPr>
      <w:rPr>
        <w:rFonts w:hint="default"/>
      </w:rPr>
    </w:lvl>
    <w:lvl w:ilvl="8" w:tplc="65D4E80E">
      <w:numFmt w:val="bullet"/>
      <w:lvlText w:val="•"/>
      <w:lvlJc w:val="left"/>
      <w:pPr>
        <w:ind w:left="8621" w:hanging="361"/>
      </w:pPr>
      <w:rPr>
        <w:rFonts w:hint="default"/>
      </w:rPr>
    </w:lvl>
  </w:abstractNum>
  <w:abstractNum w:abstractNumId="3" w15:restartNumberingAfterBreak="0">
    <w:nsid w:val="360E6F47"/>
    <w:multiLevelType w:val="hybridMultilevel"/>
    <w:tmpl w:val="770478E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15:restartNumberingAfterBreak="0">
    <w:nsid w:val="41261E29"/>
    <w:multiLevelType w:val="hybridMultilevel"/>
    <w:tmpl w:val="A55AE6AC"/>
    <w:lvl w:ilvl="0" w:tplc="BB02B9B4">
      <w:start w:val="3"/>
      <w:numFmt w:val="bullet"/>
      <w:lvlText w:val=""/>
      <w:lvlJc w:val="left"/>
      <w:pPr>
        <w:ind w:left="792" w:hanging="360"/>
      </w:pPr>
      <w:rPr>
        <w:rFonts w:ascii="Symbol" w:eastAsiaTheme="minorHAnsi" w:hAnsi="Symbol" w:cstheme="minorBidi" w:hint="default"/>
        <w:color w:val="auto"/>
        <w:sz w:val="22"/>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4AE61894"/>
    <w:multiLevelType w:val="hybridMultilevel"/>
    <w:tmpl w:val="231C6F5A"/>
    <w:lvl w:ilvl="0" w:tplc="04090001">
      <w:start w:val="1"/>
      <w:numFmt w:val="bullet"/>
      <w:lvlText w:val=""/>
      <w:lvlJc w:val="left"/>
      <w:pPr>
        <w:tabs>
          <w:tab w:val="num" w:pos="720"/>
        </w:tabs>
        <w:ind w:left="720" w:hanging="360"/>
      </w:pPr>
      <w:rPr>
        <w:rFonts w:ascii="Symbol" w:hAnsi="Symbol" w:hint="default"/>
      </w:rPr>
    </w:lvl>
    <w:lvl w:ilvl="1" w:tplc="5284273E">
      <w:start w:val="1"/>
      <w:numFmt w:val="bullet"/>
      <w:lvlText w:val=""/>
      <w:lvlJc w:val="left"/>
      <w:pPr>
        <w:tabs>
          <w:tab w:val="num" w:pos="1440"/>
        </w:tabs>
        <w:ind w:left="1440" w:hanging="360"/>
      </w:pPr>
      <w:rPr>
        <w:rFonts w:ascii="Symbol" w:hAnsi="Symbol" w:hint="default"/>
      </w:rPr>
    </w:lvl>
    <w:lvl w:ilvl="2" w:tplc="BC8CEC98">
      <w:start w:val="1"/>
      <w:numFmt w:val="bullet"/>
      <w:lvlText w:val=""/>
      <w:lvlJc w:val="left"/>
      <w:pPr>
        <w:tabs>
          <w:tab w:val="num" w:pos="2160"/>
        </w:tabs>
        <w:ind w:left="2160" w:hanging="360"/>
      </w:pPr>
      <w:rPr>
        <w:rFonts w:ascii="Symbol" w:hAnsi="Symbol" w:hint="default"/>
      </w:rPr>
    </w:lvl>
    <w:lvl w:ilvl="3" w:tplc="03CAC774" w:tentative="1">
      <w:start w:val="1"/>
      <w:numFmt w:val="bullet"/>
      <w:lvlText w:val=""/>
      <w:lvlJc w:val="left"/>
      <w:pPr>
        <w:tabs>
          <w:tab w:val="num" w:pos="2880"/>
        </w:tabs>
        <w:ind w:left="2880" w:hanging="360"/>
      </w:pPr>
      <w:rPr>
        <w:rFonts w:ascii="Symbol" w:hAnsi="Symbol" w:hint="default"/>
      </w:rPr>
    </w:lvl>
    <w:lvl w:ilvl="4" w:tplc="4B8824A6" w:tentative="1">
      <w:start w:val="1"/>
      <w:numFmt w:val="bullet"/>
      <w:lvlText w:val=""/>
      <w:lvlJc w:val="left"/>
      <w:pPr>
        <w:tabs>
          <w:tab w:val="num" w:pos="3600"/>
        </w:tabs>
        <w:ind w:left="3600" w:hanging="360"/>
      </w:pPr>
      <w:rPr>
        <w:rFonts w:ascii="Symbol" w:hAnsi="Symbol" w:hint="default"/>
      </w:rPr>
    </w:lvl>
    <w:lvl w:ilvl="5" w:tplc="3E3AC460" w:tentative="1">
      <w:start w:val="1"/>
      <w:numFmt w:val="bullet"/>
      <w:lvlText w:val=""/>
      <w:lvlJc w:val="left"/>
      <w:pPr>
        <w:tabs>
          <w:tab w:val="num" w:pos="4320"/>
        </w:tabs>
        <w:ind w:left="4320" w:hanging="360"/>
      </w:pPr>
      <w:rPr>
        <w:rFonts w:ascii="Symbol" w:hAnsi="Symbol" w:hint="default"/>
      </w:rPr>
    </w:lvl>
    <w:lvl w:ilvl="6" w:tplc="30C8E652" w:tentative="1">
      <w:start w:val="1"/>
      <w:numFmt w:val="bullet"/>
      <w:lvlText w:val=""/>
      <w:lvlJc w:val="left"/>
      <w:pPr>
        <w:tabs>
          <w:tab w:val="num" w:pos="5040"/>
        </w:tabs>
        <w:ind w:left="5040" w:hanging="360"/>
      </w:pPr>
      <w:rPr>
        <w:rFonts w:ascii="Symbol" w:hAnsi="Symbol" w:hint="default"/>
      </w:rPr>
    </w:lvl>
    <w:lvl w:ilvl="7" w:tplc="8D72F7AE" w:tentative="1">
      <w:start w:val="1"/>
      <w:numFmt w:val="bullet"/>
      <w:lvlText w:val=""/>
      <w:lvlJc w:val="left"/>
      <w:pPr>
        <w:tabs>
          <w:tab w:val="num" w:pos="5760"/>
        </w:tabs>
        <w:ind w:left="5760" w:hanging="360"/>
      </w:pPr>
      <w:rPr>
        <w:rFonts w:ascii="Symbol" w:hAnsi="Symbol" w:hint="default"/>
      </w:rPr>
    </w:lvl>
    <w:lvl w:ilvl="8" w:tplc="867CDBE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BBD5278"/>
    <w:multiLevelType w:val="hybridMultilevel"/>
    <w:tmpl w:val="FB9E655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57286383"/>
    <w:multiLevelType w:val="hybridMultilevel"/>
    <w:tmpl w:val="D340B3BC"/>
    <w:lvl w:ilvl="0" w:tplc="CDA4847C">
      <w:numFmt w:val="bullet"/>
      <w:lvlText w:val="-"/>
      <w:lvlJc w:val="left"/>
      <w:pPr>
        <w:ind w:left="1187" w:hanging="360"/>
      </w:pPr>
      <w:rPr>
        <w:rFonts w:ascii="Calibri" w:eastAsia="Calibri" w:hAnsi="Calibri" w:cs="Calibri" w:hint="default"/>
        <w:b w:val="0"/>
        <w:bCs w:val="0"/>
        <w:i w:val="0"/>
        <w:iCs w:val="0"/>
        <w:w w:val="100"/>
        <w:sz w:val="22"/>
        <w:szCs w:val="22"/>
      </w:rPr>
    </w:lvl>
    <w:lvl w:ilvl="1" w:tplc="0CC2A90E">
      <w:numFmt w:val="bullet"/>
      <w:lvlText w:val="•"/>
      <w:lvlJc w:val="left"/>
      <w:pPr>
        <w:ind w:left="2118" w:hanging="360"/>
      </w:pPr>
      <w:rPr>
        <w:rFonts w:hint="default"/>
      </w:rPr>
    </w:lvl>
    <w:lvl w:ilvl="2" w:tplc="1BBAFACA">
      <w:numFmt w:val="bullet"/>
      <w:lvlText w:val="•"/>
      <w:lvlJc w:val="left"/>
      <w:pPr>
        <w:ind w:left="3057" w:hanging="360"/>
      </w:pPr>
      <w:rPr>
        <w:rFonts w:hint="default"/>
      </w:rPr>
    </w:lvl>
    <w:lvl w:ilvl="3" w:tplc="A3BCF012">
      <w:numFmt w:val="bullet"/>
      <w:lvlText w:val="•"/>
      <w:lvlJc w:val="left"/>
      <w:pPr>
        <w:ind w:left="3995" w:hanging="360"/>
      </w:pPr>
      <w:rPr>
        <w:rFonts w:hint="default"/>
      </w:rPr>
    </w:lvl>
    <w:lvl w:ilvl="4" w:tplc="692C482C">
      <w:numFmt w:val="bullet"/>
      <w:lvlText w:val="•"/>
      <w:lvlJc w:val="left"/>
      <w:pPr>
        <w:ind w:left="4934" w:hanging="360"/>
      </w:pPr>
      <w:rPr>
        <w:rFonts w:hint="default"/>
      </w:rPr>
    </w:lvl>
    <w:lvl w:ilvl="5" w:tplc="571AE5C0">
      <w:numFmt w:val="bullet"/>
      <w:lvlText w:val="•"/>
      <w:lvlJc w:val="left"/>
      <w:pPr>
        <w:ind w:left="5873" w:hanging="360"/>
      </w:pPr>
      <w:rPr>
        <w:rFonts w:hint="default"/>
      </w:rPr>
    </w:lvl>
    <w:lvl w:ilvl="6" w:tplc="B456BEA6">
      <w:numFmt w:val="bullet"/>
      <w:lvlText w:val="•"/>
      <w:lvlJc w:val="left"/>
      <w:pPr>
        <w:ind w:left="6811" w:hanging="360"/>
      </w:pPr>
      <w:rPr>
        <w:rFonts w:hint="default"/>
      </w:rPr>
    </w:lvl>
    <w:lvl w:ilvl="7" w:tplc="80BE8FDA">
      <w:numFmt w:val="bullet"/>
      <w:lvlText w:val="•"/>
      <w:lvlJc w:val="left"/>
      <w:pPr>
        <w:ind w:left="7750" w:hanging="360"/>
      </w:pPr>
      <w:rPr>
        <w:rFonts w:hint="default"/>
      </w:rPr>
    </w:lvl>
    <w:lvl w:ilvl="8" w:tplc="02A49890">
      <w:numFmt w:val="bullet"/>
      <w:lvlText w:val="•"/>
      <w:lvlJc w:val="left"/>
      <w:pPr>
        <w:ind w:left="8689" w:hanging="360"/>
      </w:pPr>
      <w:rPr>
        <w:rFonts w:hint="default"/>
      </w:rPr>
    </w:lvl>
  </w:abstractNum>
  <w:abstractNum w:abstractNumId="8" w15:restartNumberingAfterBreak="0">
    <w:nsid w:val="5B3F41CD"/>
    <w:multiLevelType w:val="hybridMultilevel"/>
    <w:tmpl w:val="3FD4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70C96"/>
    <w:multiLevelType w:val="hybridMultilevel"/>
    <w:tmpl w:val="F0D6CA74"/>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0" w15:restartNumberingAfterBreak="0">
    <w:nsid w:val="71976FA8"/>
    <w:multiLevelType w:val="hybridMultilevel"/>
    <w:tmpl w:val="A17C8AAC"/>
    <w:lvl w:ilvl="0" w:tplc="480A2660">
      <w:start w:val="3"/>
      <w:numFmt w:val="bullet"/>
      <w:lvlText w:val=""/>
      <w:lvlJc w:val="left"/>
      <w:pPr>
        <w:ind w:left="792" w:hanging="360"/>
      </w:pPr>
      <w:rPr>
        <w:rFonts w:ascii="Symbol" w:eastAsiaTheme="minorHAnsi" w:hAnsi="Symbol"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79197DEE"/>
    <w:multiLevelType w:val="hybridMultilevel"/>
    <w:tmpl w:val="B2F28464"/>
    <w:lvl w:ilvl="0" w:tplc="08090001">
      <w:start w:val="1"/>
      <w:numFmt w:val="bullet"/>
      <w:lvlText w:val=""/>
      <w:lvlJc w:val="left"/>
      <w:pPr>
        <w:tabs>
          <w:tab w:val="num" w:pos="720"/>
        </w:tabs>
        <w:ind w:left="720" w:hanging="360"/>
      </w:pPr>
      <w:rPr>
        <w:rFonts w:ascii="Symbol" w:hAnsi="Symbol" w:hint="default"/>
      </w:rPr>
    </w:lvl>
    <w:lvl w:ilvl="1" w:tplc="3148E96E">
      <w:start w:val="1"/>
      <w:numFmt w:val="bullet"/>
      <w:lvlText w:val="•"/>
      <w:lvlJc w:val="left"/>
      <w:pPr>
        <w:tabs>
          <w:tab w:val="num" w:pos="1440"/>
        </w:tabs>
        <w:ind w:left="1440" w:hanging="360"/>
      </w:pPr>
      <w:rPr>
        <w:rFonts w:ascii="Arial" w:hAnsi="Arial" w:hint="default"/>
      </w:rPr>
    </w:lvl>
    <w:lvl w:ilvl="2" w:tplc="D29648D8" w:tentative="1">
      <w:start w:val="1"/>
      <w:numFmt w:val="bullet"/>
      <w:lvlText w:val="•"/>
      <w:lvlJc w:val="left"/>
      <w:pPr>
        <w:tabs>
          <w:tab w:val="num" w:pos="2160"/>
        </w:tabs>
        <w:ind w:left="2160" w:hanging="360"/>
      </w:pPr>
      <w:rPr>
        <w:rFonts w:ascii="Arial" w:hAnsi="Arial" w:hint="default"/>
      </w:rPr>
    </w:lvl>
    <w:lvl w:ilvl="3" w:tplc="DA8E058C" w:tentative="1">
      <w:start w:val="1"/>
      <w:numFmt w:val="bullet"/>
      <w:lvlText w:val="•"/>
      <w:lvlJc w:val="left"/>
      <w:pPr>
        <w:tabs>
          <w:tab w:val="num" w:pos="2880"/>
        </w:tabs>
        <w:ind w:left="2880" w:hanging="360"/>
      </w:pPr>
      <w:rPr>
        <w:rFonts w:ascii="Arial" w:hAnsi="Arial" w:hint="default"/>
      </w:rPr>
    </w:lvl>
    <w:lvl w:ilvl="4" w:tplc="369E93EA" w:tentative="1">
      <w:start w:val="1"/>
      <w:numFmt w:val="bullet"/>
      <w:lvlText w:val="•"/>
      <w:lvlJc w:val="left"/>
      <w:pPr>
        <w:tabs>
          <w:tab w:val="num" w:pos="3600"/>
        </w:tabs>
        <w:ind w:left="3600" w:hanging="360"/>
      </w:pPr>
      <w:rPr>
        <w:rFonts w:ascii="Arial" w:hAnsi="Arial" w:hint="default"/>
      </w:rPr>
    </w:lvl>
    <w:lvl w:ilvl="5" w:tplc="FA10DD00" w:tentative="1">
      <w:start w:val="1"/>
      <w:numFmt w:val="bullet"/>
      <w:lvlText w:val="•"/>
      <w:lvlJc w:val="left"/>
      <w:pPr>
        <w:tabs>
          <w:tab w:val="num" w:pos="4320"/>
        </w:tabs>
        <w:ind w:left="4320" w:hanging="360"/>
      </w:pPr>
      <w:rPr>
        <w:rFonts w:ascii="Arial" w:hAnsi="Arial" w:hint="default"/>
      </w:rPr>
    </w:lvl>
    <w:lvl w:ilvl="6" w:tplc="E79C0E86" w:tentative="1">
      <w:start w:val="1"/>
      <w:numFmt w:val="bullet"/>
      <w:lvlText w:val="•"/>
      <w:lvlJc w:val="left"/>
      <w:pPr>
        <w:tabs>
          <w:tab w:val="num" w:pos="5040"/>
        </w:tabs>
        <w:ind w:left="5040" w:hanging="360"/>
      </w:pPr>
      <w:rPr>
        <w:rFonts w:ascii="Arial" w:hAnsi="Arial" w:hint="default"/>
      </w:rPr>
    </w:lvl>
    <w:lvl w:ilvl="7" w:tplc="9EBAD6CE" w:tentative="1">
      <w:start w:val="1"/>
      <w:numFmt w:val="bullet"/>
      <w:lvlText w:val="•"/>
      <w:lvlJc w:val="left"/>
      <w:pPr>
        <w:tabs>
          <w:tab w:val="num" w:pos="5760"/>
        </w:tabs>
        <w:ind w:left="5760" w:hanging="360"/>
      </w:pPr>
      <w:rPr>
        <w:rFonts w:ascii="Arial" w:hAnsi="Arial" w:hint="default"/>
      </w:rPr>
    </w:lvl>
    <w:lvl w:ilvl="8" w:tplc="2AD8FE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752ECF"/>
    <w:multiLevelType w:val="hybridMultilevel"/>
    <w:tmpl w:val="DF74FF3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7B105DD4"/>
    <w:multiLevelType w:val="hybridMultilevel"/>
    <w:tmpl w:val="AF4804DC"/>
    <w:lvl w:ilvl="0" w:tplc="0809000D">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7EF1351B"/>
    <w:multiLevelType w:val="hybridMultilevel"/>
    <w:tmpl w:val="0B7E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15986">
    <w:abstractNumId w:val="3"/>
  </w:num>
  <w:num w:numId="2" w16cid:durableId="364336322">
    <w:abstractNumId w:val="12"/>
  </w:num>
  <w:num w:numId="3" w16cid:durableId="1926264529">
    <w:abstractNumId w:val="0"/>
  </w:num>
  <w:num w:numId="4" w16cid:durableId="1349214151">
    <w:abstractNumId w:val="6"/>
  </w:num>
  <w:num w:numId="5" w16cid:durableId="1471093299">
    <w:abstractNumId w:val="2"/>
  </w:num>
  <w:num w:numId="6" w16cid:durableId="1696661935">
    <w:abstractNumId w:val="4"/>
  </w:num>
  <w:num w:numId="7" w16cid:durableId="1899316839">
    <w:abstractNumId w:val="10"/>
  </w:num>
  <w:num w:numId="8" w16cid:durableId="1113741783">
    <w:abstractNumId w:val="8"/>
  </w:num>
  <w:num w:numId="9" w16cid:durableId="708141450">
    <w:abstractNumId w:val="5"/>
  </w:num>
  <w:num w:numId="10" w16cid:durableId="1646859808">
    <w:abstractNumId w:val="11"/>
  </w:num>
  <w:num w:numId="11" w16cid:durableId="2067333177">
    <w:abstractNumId w:val="7"/>
  </w:num>
  <w:num w:numId="12" w16cid:durableId="1265574674">
    <w:abstractNumId w:val="9"/>
  </w:num>
  <w:num w:numId="13" w16cid:durableId="106895359">
    <w:abstractNumId w:val="13"/>
  </w:num>
  <w:num w:numId="14" w16cid:durableId="839194582">
    <w:abstractNumId w:val="1"/>
  </w:num>
  <w:num w:numId="15" w16cid:durableId="6696000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2E"/>
    <w:rsid w:val="00055A0E"/>
    <w:rsid w:val="000564F6"/>
    <w:rsid w:val="00084FF4"/>
    <w:rsid w:val="00086CC9"/>
    <w:rsid w:val="000A1DF0"/>
    <w:rsid w:val="000F39EB"/>
    <w:rsid w:val="00142937"/>
    <w:rsid w:val="00146EC7"/>
    <w:rsid w:val="001B0F6F"/>
    <w:rsid w:val="001F79EC"/>
    <w:rsid w:val="00204B56"/>
    <w:rsid w:val="002233C0"/>
    <w:rsid w:val="0023410E"/>
    <w:rsid w:val="002470C2"/>
    <w:rsid w:val="00254D3E"/>
    <w:rsid w:val="0026597E"/>
    <w:rsid w:val="002A00E9"/>
    <w:rsid w:val="002D2088"/>
    <w:rsid w:val="002F47C9"/>
    <w:rsid w:val="00307D7A"/>
    <w:rsid w:val="00311B9E"/>
    <w:rsid w:val="00317905"/>
    <w:rsid w:val="00351185"/>
    <w:rsid w:val="00361864"/>
    <w:rsid w:val="00381659"/>
    <w:rsid w:val="003D4133"/>
    <w:rsid w:val="00402726"/>
    <w:rsid w:val="004254C0"/>
    <w:rsid w:val="00466F32"/>
    <w:rsid w:val="004F001E"/>
    <w:rsid w:val="00510660"/>
    <w:rsid w:val="0051664E"/>
    <w:rsid w:val="00535D54"/>
    <w:rsid w:val="00543A99"/>
    <w:rsid w:val="0055472C"/>
    <w:rsid w:val="00573751"/>
    <w:rsid w:val="005C6226"/>
    <w:rsid w:val="005F0B8A"/>
    <w:rsid w:val="005F0D7C"/>
    <w:rsid w:val="005F463A"/>
    <w:rsid w:val="00621320"/>
    <w:rsid w:val="006904D1"/>
    <w:rsid w:val="006936F2"/>
    <w:rsid w:val="006C204D"/>
    <w:rsid w:val="006D73A7"/>
    <w:rsid w:val="006E05E0"/>
    <w:rsid w:val="00703B4E"/>
    <w:rsid w:val="00732177"/>
    <w:rsid w:val="0074329C"/>
    <w:rsid w:val="00744056"/>
    <w:rsid w:val="0078538B"/>
    <w:rsid w:val="007A5916"/>
    <w:rsid w:val="007B0F16"/>
    <w:rsid w:val="00812595"/>
    <w:rsid w:val="00815BE4"/>
    <w:rsid w:val="00874E89"/>
    <w:rsid w:val="008756AA"/>
    <w:rsid w:val="008905B6"/>
    <w:rsid w:val="0089718A"/>
    <w:rsid w:val="008A0FFA"/>
    <w:rsid w:val="008A45A4"/>
    <w:rsid w:val="0097623F"/>
    <w:rsid w:val="00996D5E"/>
    <w:rsid w:val="009A2CD8"/>
    <w:rsid w:val="009B6E14"/>
    <w:rsid w:val="009E6F5B"/>
    <w:rsid w:val="009F73D8"/>
    <w:rsid w:val="00A012F9"/>
    <w:rsid w:val="00A0492E"/>
    <w:rsid w:val="00A05657"/>
    <w:rsid w:val="00A334A4"/>
    <w:rsid w:val="00A44A02"/>
    <w:rsid w:val="00A52568"/>
    <w:rsid w:val="00A64671"/>
    <w:rsid w:val="00A73E95"/>
    <w:rsid w:val="00AB6413"/>
    <w:rsid w:val="00AE3582"/>
    <w:rsid w:val="00AE5813"/>
    <w:rsid w:val="00B5078F"/>
    <w:rsid w:val="00B67F1F"/>
    <w:rsid w:val="00B91D5D"/>
    <w:rsid w:val="00B95F8A"/>
    <w:rsid w:val="00BE344F"/>
    <w:rsid w:val="00C31D40"/>
    <w:rsid w:val="00C368C0"/>
    <w:rsid w:val="00C52879"/>
    <w:rsid w:val="00C7566D"/>
    <w:rsid w:val="00C80214"/>
    <w:rsid w:val="00CD7BFF"/>
    <w:rsid w:val="00CE2E9C"/>
    <w:rsid w:val="00CE353D"/>
    <w:rsid w:val="00CF2811"/>
    <w:rsid w:val="00D11E73"/>
    <w:rsid w:val="00D15F88"/>
    <w:rsid w:val="00D27FF7"/>
    <w:rsid w:val="00D37A46"/>
    <w:rsid w:val="00D413B7"/>
    <w:rsid w:val="00D63AE7"/>
    <w:rsid w:val="00D944FD"/>
    <w:rsid w:val="00DA2ABB"/>
    <w:rsid w:val="00DA4B23"/>
    <w:rsid w:val="00DE55A6"/>
    <w:rsid w:val="00DE6ACF"/>
    <w:rsid w:val="00E377F2"/>
    <w:rsid w:val="00E51418"/>
    <w:rsid w:val="00E55AAD"/>
    <w:rsid w:val="00EA7E44"/>
    <w:rsid w:val="00ED3FC3"/>
    <w:rsid w:val="00EF11A8"/>
    <w:rsid w:val="00F2697D"/>
    <w:rsid w:val="00F46BF4"/>
    <w:rsid w:val="00F52728"/>
    <w:rsid w:val="00FC3220"/>
    <w:rsid w:val="00FD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FFEDB"/>
  <w15:chartTrackingRefBased/>
  <w15:docId w15:val="{F1114244-C75F-43F3-8168-C32FFCAD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582"/>
    <w:pPr>
      <w:jc w:val="both"/>
    </w:pPr>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E"/>
  </w:style>
  <w:style w:type="paragraph" w:styleId="Footer">
    <w:name w:val="footer"/>
    <w:basedOn w:val="Normal"/>
    <w:link w:val="FooterChar"/>
    <w:uiPriority w:val="99"/>
    <w:unhideWhenUsed/>
    <w:rsid w:val="00A0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E"/>
  </w:style>
  <w:style w:type="paragraph" w:customStyle="1" w:styleId="basic-paragraph">
    <w:name w:val="basic-paragraph"/>
    <w:basedOn w:val="Normal"/>
    <w:rsid w:val="002D20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talik">
    <w:name w:val="italik"/>
    <w:basedOn w:val="DefaultParagraphFont"/>
    <w:rsid w:val="002D2088"/>
  </w:style>
  <w:style w:type="character" w:styleId="CommentReference">
    <w:name w:val="annotation reference"/>
    <w:basedOn w:val="DefaultParagraphFont"/>
    <w:uiPriority w:val="99"/>
    <w:semiHidden/>
    <w:unhideWhenUsed/>
    <w:rsid w:val="002D2088"/>
    <w:rPr>
      <w:sz w:val="16"/>
      <w:szCs w:val="16"/>
    </w:rPr>
  </w:style>
  <w:style w:type="paragraph" w:styleId="CommentText">
    <w:name w:val="annotation text"/>
    <w:basedOn w:val="Normal"/>
    <w:link w:val="CommentTextChar"/>
    <w:uiPriority w:val="99"/>
    <w:unhideWhenUsed/>
    <w:rsid w:val="002D2088"/>
    <w:pPr>
      <w:spacing w:line="240" w:lineRule="auto"/>
    </w:pPr>
    <w:rPr>
      <w:sz w:val="20"/>
      <w:szCs w:val="20"/>
    </w:rPr>
  </w:style>
  <w:style w:type="character" w:customStyle="1" w:styleId="CommentTextChar">
    <w:name w:val="Comment Text Char"/>
    <w:basedOn w:val="DefaultParagraphFont"/>
    <w:link w:val="CommentText"/>
    <w:uiPriority w:val="99"/>
    <w:rsid w:val="002D2088"/>
    <w:rPr>
      <w:sz w:val="20"/>
      <w:szCs w:val="20"/>
    </w:rPr>
  </w:style>
  <w:style w:type="paragraph" w:styleId="CommentSubject">
    <w:name w:val="annotation subject"/>
    <w:basedOn w:val="CommentText"/>
    <w:next w:val="CommentText"/>
    <w:link w:val="CommentSubjectChar"/>
    <w:uiPriority w:val="99"/>
    <w:semiHidden/>
    <w:unhideWhenUsed/>
    <w:rsid w:val="002D2088"/>
    <w:rPr>
      <w:b/>
      <w:bCs/>
    </w:rPr>
  </w:style>
  <w:style w:type="character" w:customStyle="1" w:styleId="CommentSubjectChar">
    <w:name w:val="Comment Subject Char"/>
    <w:basedOn w:val="CommentTextChar"/>
    <w:link w:val="CommentSubject"/>
    <w:uiPriority w:val="99"/>
    <w:semiHidden/>
    <w:rsid w:val="002D2088"/>
    <w:rPr>
      <w:b/>
      <w:bCs/>
      <w:sz w:val="20"/>
      <w:szCs w:val="20"/>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621320"/>
    <w:pPr>
      <w:ind w:left="720"/>
      <w:contextualSpacing/>
    </w:pPr>
  </w:style>
  <w:style w:type="character" w:styleId="Hyperlink">
    <w:name w:val="Hyperlink"/>
    <w:basedOn w:val="DefaultParagraphFont"/>
    <w:uiPriority w:val="99"/>
    <w:unhideWhenUsed/>
    <w:rsid w:val="0026597E"/>
    <w:rPr>
      <w:color w:val="0000FF" w:themeColor="hyperlink"/>
      <w:u w:val="single"/>
    </w:rPr>
  </w:style>
  <w:style w:type="character" w:customStyle="1" w:styleId="UnresolvedMention1">
    <w:name w:val="Unresolved Mention1"/>
    <w:basedOn w:val="DefaultParagraphFont"/>
    <w:uiPriority w:val="99"/>
    <w:semiHidden/>
    <w:unhideWhenUsed/>
    <w:rsid w:val="0026597E"/>
    <w:rPr>
      <w:color w:val="605E5C"/>
      <w:shd w:val="clear" w:color="auto" w:fill="E1DFDD"/>
    </w:rPr>
  </w:style>
  <w:style w:type="paragraph" w:styleId="NoSpacing">
    <w:name w:val="No Spacing"/>
    <w:link w:val="NoSpacingChar"/>
    <w:uiPriority w:val="1"/>
    <w:qFormat/>
    <w:rsid w:val="00EF11A8"/>
    <w:pPr>
      <w:spacing w:after="0" w:line="240" w:lineRule="auto"/>
    </w:pPr>
    <w:rPr>
      <w:rFonts w:eastAsiaTheme="minorEastAsia"/>
    </w:rPr>
  </w:style>
  <w:style w:type="character" w:customStyle="1" w:styleId="NoSpacingChar">
    <w:name w:val="No Spacing Char"/>
    <w:basedOn w:val="DefaultParagraphFont"/>
    <w:link w:val="NoSpacing"/>
    <w:uiPriority w:val="1"/>
    <w:rsid w:val="00EF11A8"/>
    <w:rPr>
      <w:rFonts w:eastAsiaTheme="minorEastAsia"/>
    </w:rPr>
  </w:style>
  <w:style w:type="character" w:styleId="FollowedHyperlink">
    <w:name w:val="FollowedHyperlink"/>
    <w:basedOn w:val="DefaultParagraphFont"/>
    <w:uiPriority w:val="99"/>
    <w:semiHidden/>
    <w:unhideWhenUsed/>
    <w:rsid w:val="00C31D40"/>
    <w:rPr>
      <w:color w:val="0000FF" w:themeColor="followedHyperlink"/>
      <w:u w:val="single"/>
    </w:rPr>
  </w:style>
  <w:style w:type="character" w:customStyle="1" w:styleId="fontstyle01">
    <w:name w:val="fontstyle01"/>
    <w:basedOn w:val="DefaultParagraphFont"/>
    <w:rsid w:val="003D4133"/>
    <w:rPr>
      <w:rFonts w:ascii="ArialMT" w:hAnsi="ArialMT" w:hint="default"/>
      <w:b w:val="0"/>
      <w:bCs w:val="0"/>
      <w:i w:val="0"/>
      <w:iCs w:val="0"/>
      <w:color w:val="000000"/>
      <w:sz w:val="22"/>
      <w:szCs w:val="22"/>
    </w:rPr>
  </w:style>
  <w:style w:type="character" w:customStyle="1" w:styleId="fontstyle21">
    <w:name w:val="fontstyle21"/>
    <w:basedOn w:val="DefaultParagraphFont"/>
    <w:rsid w:val="003D4133"/>
    <w:rPr>
      <w:rFonts w:ascii="SymbolMT" w:hAnsi="SymbolMT" w:hint="default"/>
      <w:b w:val="0"/>
      <w:bCs w:val="0"/>
      <w:i w:val="0"/>
      <w:iCs w:val="0"/>
      <w:color w:val="B8323D"/>
      <w:sz w:val="22"/>
      <w:szCs w:val="22"/>
    </w:rPr>
  </w:style>
  <w:style w:type="table" w:customStyle="1" w:styleId="TableGridLight1">
    <w:name w:val="Table Grid Light1"/>
    <w:basedOn w:val="TableNormal"/>
    <w:uiPriority w:val="40"/>
    <w:rsid w:val="003D4133"/>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142937"/>
    <w:rPr>
      <w:lang w:val="sr-Cyrl-RS"/>
    </w:rPr>
  </w:style>
  <w:style w:type="table" w:customStyle="1" w:styleId="GridTable21">
    <w:name w:val="Grid Table 21"/>
    <w:basedOn w:val="TableNormal"/>
    <w:uiPriority w:val="47"/>
    <w:rsid w:val="00055A0E"/>
    <w:pPr>
      <w:spacing w:after="0" w:line="240" w:lineRule="auto"/>
    </w:pPr>
    <w:rPr>
      <w:rFonts w:ascii="Calibri" w:eastAsia="Calibri" w:hAnsi="Calibri"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5">
    <w:name w:val="List Table 2 Accent 5"/>
    <w:basedOn w:val="TableNormal"/>
    <w:uiPriority w:val="47"/>
    <w:rsid w:val="00055A0E"/>
    <w:pPr>
      <w:spacing w:after="0" w:line="240" w:lineRule="auto"/>
    </w:pPr>
    <w:tblPr>
      <w:tblStyleRowBandSize w:val="1"/>
      <w:tblStyleColBandSize w:val="1"/>
      <w:tblBorders>
        <w:top w:val="single" w:sz="4" w:space="0" w:color="E06161" w:themeColor="accent5" w:themeTint="99"/>
        <w:bottom w:val="single" w:sz="4" w:space="0" w:color="E06161" w:themeColor="accent5" w:themeTint="99"/>
        <w:insideH w:val="single" w:sz="4" w:space="0" w:color="E0616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ACA" w:themeFill="accent5" w:themeFillTint="33"/>
      </w:tcPr>
    </w:tblStylePr>
    <w:tblStylePr w:type="band1Horz">
      <w:tblPr/>
      <w:tcPr>
        <w:shd w:val="clear" w:color="auto" w:fill="F4CACA" w:themeFill="accent5" w:themeFillTint="33"/>
      </w:tcPr>
    </w:tblStylePr>
  </w:style>
  <w:style w:type="table" w:styleId="GridTable1Light-Accent3">
    <w:name w:val="Grid Table 1 Light Accent 3"/>
    <w:basedOn w:val="TableNormal"/>
    <w:uiPriority w:val="46"/>
    <w:rsid w:val="00996D5E"/>
    <w:pPr>
      <w:spacing w:after="0" w:line="240" w:lineRule="auto"/>
    </w:pPr>
    <w:tblPr>
      <w:tblStyleRowBandSize w:val="1"/>
      <w:tblStyleColBandSize w:val="1"/>
      <w:tblBorders>
        <w:top w:val="single" w:sz="4" w:space="0" w:color="D88F8C" w:themeColor="accent3" w:themeTint="66"/>
        <w:left w:val="single" w:sz="4" w:space="0" w:color="D88F8C" w:themeColor="accent3" w:themeTint="66"/>
        <w:bottom w:val="single" w:sz="4" w:space="0" w:color="D88F8C" w:themeColor="accent3" w:themeTint="66"/>
        <w:right w:val="single" w:sz="4" w:space="0" w:color="D88F8C" w:themeColor="accent3" w:themeTint="66"/>
        <w:insideH w:val="single" w:sz="4" w:space="0" w:color="D88F8C" w:themeColor="accent3" w:themeTint="66"/>
        <w:insideV w:val="single" w:sz="4" w:space="0" w:color="D88F8C" w:themeColor="accent3" w:themeTint="66"/>
      </w:tblBorders>
    </w:tblPr>
    <w:tblStylePr w:type="firstRow">
      <w:rPr>
        <w:b/>
        <w:bCs/>
      </w:rPr>
      <w:tblPr/>
      <w:tcPr>
        <w:tcBorders>
          <w:bottom w:val="single" w:sz="12" w:space="0" w:color="C55753" w:themeColor="accent3" w:themeTint="99"/>
        </w:tcBorders>
      </w:tcPr>
    </w:tblStylePr>
    <w:tblStylePr w:type="lastRow">
      <w:rPr>
        <w:b/>
        <w:bCs/>
      </w:rPr>
      <w:tblPr/>
      <w:tcPr>
        <w:tcBorders>
          <w:top w:val="double" w:sz="2" w:space="0" w:color="C55753"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F3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EB"/>
    <w:rPr>
      <w:rFonts w:ascii="Segoe UI" w:hAnsi="Segoe UI" w:cs="Segoe UI"/>
      <w:sz w:val="18"/>
      <w:szCs w:val="18"/>
      <w:lang w:val="sr-Cyrl-RS"/>
    </w:rPr>
  </w:style>
  <w:style w:type="paragraph" w:styleId="BodyText">
    <w:name w:val="Body Text"/>
    <w:basedOn w:val="Normal"/>
    <w:link w:val="BodyTextChar"/>
    <w:uiPriority w:val="1"/>
    <w:qFormat/>
    <w:rsid w:val="00466F32"/>
    <w:pPr>
      <w:widowControl w:val="0"/>
      <w:autoSpaceDE w:val="0"/>
      <w:autoSpaceDN w:val="0"/>
      <w:spacing w:after="0" w:line="240" w:lineRule="auto"/>
      <w:jc w:val="left"/>
    </w:pPr>
    <w:rPr>
      <w:rFonts w:ascii="Arial" w:eastAsia="Arial" w:hAnsi="Arial" w:cs="Arial"/>
      <w:lang w:val="en-US"/>
    </w:rPr>
  </w:style>
  <w:style w:type="character" w:customStyle="1" w:styleId="BodyTextChar">
    <w:name w:val="Body Text Char"/>
    <w:basedOn w:val="DefaultParagraphFont"/>
    <w:link w:val="BodyText"/>
    <w:uiPriority w:val="1"/>
    <w:rsid w:val="00466F32"/>
    <w:rPr>
      <w:rFonts w:ascii="Arial" w:eastAsia="Arial" w:hAnsi="Arial" w:cs="Arial"/>
    </w:rPr>
  </w:style>
  <w:style w:type="paragraph" w:customStyle="1" w:styleId="TableParagraph">
    <w:name w:val="Table Paragraph"/>
    <w:basedOn w:val="Normal"/>
    <w:uiPriority w:val="1"/>
    <w:qFormat/>
    <w:rsid w:val="00466F32"/>
    <w:pPr>
      <w:widowControl w:val="0"/>
      <w:autoSpaceDE w:val="0"/>
      <w:autoSpaceDN w:val="0"/>
      <w:spacing w:after="0" w:line="240" w:lineRule="auto"/>
      <w:jc w:val="left"/>
    </w:pPr>
    <w:rPr>
      <w:rFonts w:ascii="Arial" w:eastAsia="Arial" w:hAnsi="Arial" w:cs="Arial"/>
      <w:lang w:val="en-US"/>
    </w:rPr>
  </w:style>
  <w:style w:type="table" w:customStyle="1" w:styleId="PwCTableFigures2">
    <w:name w:val="PwC Table Figures2"/>
    <w:basedOn w:val="TableNormal"/>
    <w:uiPriority w:val="99"/>
    <w:qFormat/>
    <w:rsid w:val="00AE5813"/>
    <w:pPr>
      <w:tabs>
        <w:tab w:val="decimal" w:pos="1134"/>
      </w:tabs>
      <w:spacing w:before="60" w:after="60" w:line="240" w:lineRule="auto"/>
    </w:pPr>
    <w:rPr>
      <w:sz w:val="20"/>
      <w:szCs w:val="20"/>
      <w:lang w:val="en-GB"/>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styleId="TableGrid">
    <w:name w:val="Table Grid"/>
    <w:basedOn w:val="TableNormal"/>
    <w:uiPriority w:val="59"/>
    <w:unhideWhenUsed/>
    <w:rsid w:val="00EA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46EC7"/>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6A8BE613F30469E0CA1F3BD5A6130" ma:contentTypeVersion="14" ma:contentTypeDescription="Create a new document." ma:contentTypeScope="" ma:versionID="9fb500487e3146f3d61c1d5e9418acb0">
  <xsd:schema xmlns:xsd="http://www.w3.org/2001/XMLSchema" xmlns:xs="http://www.w3.org/2001/XMLSchema" xmlns:p="http://schemas.microsoft.com/office/2006/metadata/properties" xmlns:ns2="872cbdc7-53a7-4e2d-9b82-d95bed377f79" xmlns:ns3="e769e857-5697-486a-8975-4a8a6b77ba24" targetNamespace="http://schemas.microsoft.com/office/2006/metadata/properties" ma:root="true" ma:fieldsID="541661f9fc82f53ca4cd5ee88f0ee4a5" ns2:_="" ns3:_="">
    <xsd:import namespace="872cbdc7-53a7-4e2d-9b82-d95bed377f79"/>
    <xsd:import namespace="e769e857-5697-486a-8975-4a8a6b77b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cbdc7-53a7-4e2d-9b82-d95bed377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a5bcb7c-d703-4ac7-a39f-fa561dcef6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69e857-5697-486a-8975-4a8a6b77ba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2d92dc7-b130-45bd-bc8a-ede47f9c49a2}" ma:internalName="TaxCatchAll" ma:showField="CatchAllData" ma:web="e769e857-5697-486a-8975-4a8a6b77b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69e857-5697-486a-8975-4a8a6b77ba24" xsi:nil="true"/>
    <lcf76f155ced4ddcb4097134ff3c332f xmlns="872cbdc7-53a7-4e2d-9b82-d95bed377f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D7FA99-FAE1-45AA-97F0-9A5B3B9C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cbdc7-53a7-4e2d-9b82-d95bed377f79"/>
    <ds:schemaRef ds:uri="e769e857-5697-486a-8975-4a8a6b77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D3FDA-AD7B-4B19-B733-89F43269B261}">
  <ds:schemaRefs>
    <ds:schemaRef ds:uri="http://schemas.microsoft.com/sharepoint/v3/contenttype/forms"/>
  </ds:schemaRefs>
</ds:datastoreItem>
</file>

<file path=customXml/itemProps3.xml><?xml version="1.0" encoding="utf-8"?>
<ds:datastoreItem xmlns:ds="http://schemas.openxmlformats.org/officeDocument/2006/customXml" ds:itemID="{24EE79D7-306B-4792-AC8C-E9CF2E84BAC0}">
  <ds:schemaRefs>
    <ds:schemaRef ds:uri="http://schemas.microsoft.com/office/2006/metadata/properties"/>
    <ds:schemaRef ds:uri="http://schemas.microsoft.com/office/infopath/2007/PartnerControls"/>
    <ds:schemaRef ds:uri="e769e857-5697-486a-8975-4a8a6b77ba24"/>
    <ds:schemaRef ds:uri="872cbdc7-53a7-4e2d-9b82-d95bed377f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Spasic (RS)</dc:creator>
  <cp:keywords/>
  <dc:description/>
  <cp:lastModifiedBy>Igor Jerković</cp:lastModifiedBy>
  <cp:revision>2</cp:revision>
  <dcterms:created xsi:type="dcterms:W3CDTF">2023-04-06T14:05:00Z</dcterms:created>
  <dcterms:modified xsi:type="dcterms:W3CDTF">2023-04-06T14:05:00Z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0x01010015B6A8BE613F30469E0CA1F3BD5A6130</vt:lpwstr>
  </property>
</Properties>
</file>