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B5057" w14:textId="19124422" w:rsidR="00CD77D2" w:rsidRPr="005411B8" w:rsidRDefault="00145FB9" w:rsidP="003A3306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16"/>
          <w:lang w:val="sr-Cyrl-RS"/>
        </w:rPr>
      </w:pPr>
      <w:r w:rsidRPr="005411B8">
        <w:rPr>
          <w:rFonts w:ascii="Times New Roman" w:hAnsi="Times New Roman" w:cs="Times New Roman"/>
          <w:sz w:val="32"/>
          <w:lang w:val="sr-Cyrl-RS"/>
        </w:rPr>
        <w:t xml:space="preserve">ТЕСТ УТИЦАЈА НА </w:t>
      </w:r>
      <w:r w:rsidR="007C3AEF" w:rsidRPr="005411B8">
        <w:rPr>
          <w:rFonts w:ascii="Times New Roman" w:hAnsi="Times New Roman" w:cs="Times New Roman"/>
          <w:sz w:val="32"/>
          <w:lang w:val="sr-Cyrl-RS"/>
        </w:rPr>
        <w:t>МИКРО, МАЛЕ И СРЕДЊЕ ПРИВРЕДНЕ СУБЈЕКТЕ (</w:t>
      </w:r>
      <w:r w:rsidR="00290694" w:rsidRPr="005411B8">
        <w:rPr>
          <w:rFonts w:ascii="Times New Roman" w:hAnsi="Times New Roman" w:cs="Times New Roman"/>
          <w:sz w:val="32"/>
          <w:lang w:val="sr-Cyrl-RS"/>
        </w:rPr>
        <w:t>М</w:t>
      </w:r>
      <w:r w:rsidR="005411B8">
        <w:rPr>
          <w:rFonts w:ascii="Times New Roman" w:hAnsi="Times New Roman" w:cs="Times New Roman"/>
          <w:sz w:val="32"/>
          <w:lang w:val="sr-Cyrl-RS"/>
        </w:rPr>
        <w:t>МСП ТЕСТ</w:t>
      </w:r>
      <w:r w:rsidR="007C3AEF" w:rsidRPr="005411B8">
        <w:rPr>
          <w:rFonts w:ascii="Times New Roman" w:hAnsi="Times New Roman" w:cs="Times New Roman"/>
          <w:sz w:val="32"/>
          <w:lang w:val="sr-Cyrl-RS"/>
        </w:rPr>
        <w:t>)</w:t>
      </w:r>
    </w:p>
    <w:p w14:paraId="3B25EC2D" w14:textId="239B5807" w:rsidR="00CD77D2" w:rsidRDefault="00CD77D2" w:rsidP="007357D2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98CD086" w14:textId="4ED8B0B7" w:rsidR="00DB58D6" w:rsidRPr="0033354E" w:rsidRDefault="00AE33A0" w:rsidP="003A3306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54E">
        <w:rPr>
          <w:rFonts w:ascii="Times New Roman" w:hAnsi="Times New Roman" w:cs="Times New Roman"/>
          <w:b/>
          <w:sz w:val="24"/>
          <w:szCs w:val="24"/>
          <w:lang w:val="sr-Cyrl-RS"/>
        </w:rPr>
        <w:t>Шта је ММСП тест</w:t>
      </w:r>
      <w:r w:rsidRPr="0033354E">
        <w:rPr>
          <w:rFonts w:ascii="Times New Roman" w:hAnsi="Times New Roman" w:cs="Times New Roman"/>
          <w:b/>
          <w:sz w:val="24"/>
          <w:szCs w:val="24"/>
        </w:rPr>
        <w:t>?</w:t>
      </w:r>
    </w:p>
    <w:p w14:paraId="74A5EF73" w14:textId="77777777" w:rsidR="00A71340" w:rsidRDefault="007357D2" w:rsidP="00CF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</w:pPr>
      <w:r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Због ограничених ресурса</w:t>
      </w:r>
      <w:r w:rsidR="00305B16"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 </w:t>
      </w:r>
      <w:r w:rsidR="002B2F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којима располажу </w:t>
      </w:r>
      <w:r w:rsidR="00305B16"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микро,</w:t>
      </w:r>
      <w:r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 мали и средњи привредни субјекти </w:t>
      </w:r>
      <w:r w:rsidR="00305B16"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 (ММСП) </w:t>
      </w:r>
      <w:r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могу бити изложени </w:t>
      </w:r>
      <w:r w:rsidR="0080581A"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високим</w:t>
      </w:r>
      <w:r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 трошковима усклађивања са прописима. Како би се избегле нежељене последице и непотребно оптерећење </w:t>
      </w:r>
      <w:r w:rsidR="003F37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сектора </w:t>
      </w:r>
      <w:r w:rsidR="00305B16"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ММСП</w:t>
      </w:r>
      <w:r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 неопходно је размотрити да ли су </w:t>
      </w:r>
      <w:r w:rsidR="00C010FD"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захтеви наметнути</w:t>
      </w:r>
      <w:r w:rsidR="00305B16"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 ММСП</w:t>
      </w:r>
      <w:r w:rsidR="00C010FD"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 </w:t>
      </w:r>
      <w:r w:rsidR="0080581A"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сврсисходни</w:t>
      </w:r>
      <w:r w:rsidR="00C010FD"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,</w:t>
      </w:r>
      <w:r w:rsidR="0080581A"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 </w:t>
      </w:r>
      <w:r w:rsidR="002D0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односно да</w:t>
      </w:r>
      <w:r w:rsidR="00C010FD"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 ли су </w:t>
      </w:r>
      <w:r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они </w:t>
      </w:r>
      <w:r w:rsidR="00421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несразмерни</w:t>
      </w:r>
      <w:r w:rsidR="001C0A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 тако </w:t>
      </w:r>
      <w:r w:rsidR="0080581A"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да </w:t>
      </w:r>
      <w:r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је њихов положај релативно неповољан у односу на велике привредне субјекте. </w:t>
      </w:r>
    </w:p>
    <w:p w14:paraId="56A6733A" w14:textId="77777777" w:rsidR="00A71340" w:rsidRDefault="00A71340" w:rsidP="00CF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</w:pPr>
    </w:p>
    <w:p w14:paraId="17959B2A" w14:textId="21957B9B" w:rsidR="006B6E4A" w:rsidRDefault="00950F08" w:rsidP="00CF2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ММСП тест је алатка која се користи </w:t>
      </w:r>
      <w:r w:rsidR="007357D2"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приликом </w:t>
      </w:r>
      <w:r w:rsidR="00305B16"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планирања, формулисања и усвајања </w:t>
      </w:r>
      <w:r w:rsidR="00305B16" w:rsidRPr="00F02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en-GB"/>
        </w:rPr>
        <w:t>прописа</w:t>
      </w:r>
      <w:r w:rsidR="00305B16"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 у оквиру спровођења ex-ante анализе ефеката</w:t>
      </w:r>
      <w:r w:rsidR="00286B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.</w:t>
      </w:r>
      <w:r w:rsidR="008A6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 </w:t>
      </w:r>
      <w:r w:rsidR="00A71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Спровођење ММСП теста </w:t>
      </w:r>
      <w:r w:rsidR="00197A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представља обавезан корак </w:t>
      </w:r>
      <w:r w:rsidR="00FA3892"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у складу </w:t>
      </w:r>
      <w:r w:rsidR="00067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са </w:t>
      </w:r>
      <w:r w:rsidR="00947A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Уредб</w:t>
      </w:r>
      <w:r w:rsidR="004D46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ом</w:t>
      </w:r>
      <w:r w:rsidR="00947A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 о методологији управљања јавним политикама, анализи ефеката јавних политика и прописа и садржају појединачних докумената јавних политика (у даљем тексту</w:t>
      </w:r>
      <w:r w:rsidR="002B2F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:</w:t>
      </w:r>
      <w:r w:rsidR="00947A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 Уредбе о </w:t>
      </w:r>
      <w:r w:rsidR="002B2F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анализи ефеката</w:t>
      </w:r>
      <w:r w:rsidR="00947A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) </w:t>
      </w:r>
      <w:r w:rsidR="000678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која захтева разматрање</w:t>
      </w:r>
      <w:r w:rsidR="00067805"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 </w:t>
      </w:r>
      <w:r w:rsidR="000678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предложених </w:t>
      </w:r>
      <w:r w:rsidR="00C81F84"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реш</w:t>
      </w:r>
      <w:r w:rsid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е</w:t>
      </w:r>
      <w:r w:rsidR="00C81F84"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њ</w:t>
      </w:r>
      <w:r w:rsid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а</w:t>
      </w:r>
      <w:r w:rsidR="00C81F84"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 </w:t>
      </w:r>
      <w:r w:rsid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у </w:t>
      </w:r>
      <w:r w:rsidR="00067805"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пропис</w:t>
      </w:r>
      <w:r w:rsidR="000678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има</w:t>
      </w:r>
      <w:r w:rsidR="00C81F84"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, као и </w:t>
      </w:r>
      <w:r w:rsidR="007357D2"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алтернативних опц</w:t>
      </w:r>
      <w:r w:rsidR="00C010FD"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и</w:t>
      </w:r>
      <w:r w:rsidR="007357D2"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ја, односно алтернативних </w:t>
      </w:r>
      <w:r w:rsidR="00305B16"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мера</w:t>
      </w:r>
      <w:r w:rsidR="007357D2"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 и решења к</w:t>
      </w:r>
      <w:r w:rsidR="00C010FD"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о</w:t>
      </w:r>
      <w:r w:rsidR="007357D2"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јима се смањује оптерећење </w:t>
      </w:r>
      <w:r w:rsidR="00305B16"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ММСП.</w:t>
      </w:r>
      <w:r w:rsidR="00CF2A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 При томе а</w:t>
      </w:r>
      <w:r w:rsidR="00965A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нализа и н</w:t>
      </w:r>
      <w:r w:rsidR="006B6E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иво детаља</w:t>
      </w:r>
      <w:r w:rsidR="00965A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 </w:t>
      </w:r>
      <w:r w:rsidR="00CF2A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садржаних</w:t>
      </w:r>
      <w:r w:rsidR="00FA71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 у оквиру ММСП теста </w:t>
      </w:r>
      <w:r w:rsidR="00965A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треба да буде пропорционал</w:t>
      </w:r>
      <w:r w:rsidR="00FA71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на</w:t>
      </w:r>
      <w:r w:rsidR="00965A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 </w:t>
      </w:r>
      <w:r w:rsidR="00EA5A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значају прописа</w:t>
      </w:r>
      <w:r w:rsidR="00173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, односно потенцијалном оптерећењу ММСП које пропис </w:t>
      </w:r>
      <w:r w:rsidR="00CF2A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намеће.</w:t>
      </w:r>
      <w:r w:rsidR="00DB58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 </w:t>
      </w:r>
    </w:p>
    <w:p w14:paraId="30D24143" w14:textId="77A71178" w:rsidR="00A8207B" w:rsidRDefault="00A8207B" w:rsidP="00947AE3">
      <w:pPr>
        <w:spacing w:before="60" w:after="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</w:pPr>
    </w:p>
    <w:p w14:paraId="0690557C" w14:textId="5E25B6C9" w:rsidR="006A4481" w:rsidRDefault="006A4481" w:rsidP="009D5B2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 w:line="270" w:lineRule="atLeast"/>
        <w:ind w:left="142" w:right="95"/>
        <w:jc w:val="both"/>
        <w:textAlignment w:val="baseline"/>
        <w:rPr>
          <w:bCs/>
          <w:color w:val="000000"/>
          <w:sz w:val="22"/>
          <w:lang w:val="sr-Cyrl-RS"/>
        </w:rPr>
      </w:pPr>
      <w:r w:rsidRPr="003A3306">
        <w:rPr>
          <w:bCs/>
          <w:color w:val="000000"/>
          <w:sz w:val="22"/>
          <w:lang w:val="sr-Cyrl-RS"/>
        </w:rPr>
        <w:t>ММСП тест:</w:t>
      </w:r>
    </w:p>
    <w:p w14:paraId="67E232CE" w14:textId="77777777" w:rsidR="009D5B22" w:rsidRPr="003A3306" w:rsidRDefault="009D5B22" w:rsidP="003A330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 w:line="270" w:lineRule="atLeast"/>
        <w:ind w:left="142" w:right="95"/>
        <w:jc w:val="both"/>
        <w:textAlignment w:val="baseline"/>
        <w:rPr>
          <w:bCs/>
          <w:color w:val="000000"/>
          <w:sz w:val="22"/>
          <w:lang w:val="sr-Cyrl-RS"/>
        </w:rPr>
      </w:pPr>
    </w:p>
    <w:p w14:paraId="3B83E861" w14:textId="77777777" w:rsidR="006A4481" w:rsidRPr="003A3306" w:rsidRDefault="006A4481" w:rsidP="003A330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142" w:right="95" w:firstLine="0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val="sr-Latn-RS" w:eastAsia="en-GB"/>
        </w:rPr>
      </w:pPr>
      <w:r w:rsidRPr="003A3306">
        <w:rPr>
          <w:rFonts w:ascii="Times New Roman" w:eastAsia="Times New Roman" w:hAnsi="Times New Roman" w:cs="Times New Roman"/>
          <w:bCs/>
          <w:color w:val="000000"/>
          <w:szCs w:val="24"/>
          <w:lang w:val="sr-Cyrl-RS" w:eastAsia="en-GB"/>
        </w:rPr>
        <w:t xml:space="preserve">анализира могуће ефекте предложених мера и прописа на микро, мале и средње привредне субјекте. </w:t>
      </w:r>
    </w:p>
    <w:p w14:paraId="4E769892" w14:textId="4C9DF0AA" w:rsidR="006A4481" w:rsidRPr="003A3306" w:rsidRDefault="006402EC" w:rsidP="003A330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 w:after="60"/>
        <w:ind w:left="142" w:right="95" w:firstLine="0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Cs/>
          <w:color w:val="000000"/>
          <w:szCs w:val="24"/>
          <w:lang w:val="sr-Cyrl-RS" w:eastAsia="en-GB"/>
        </w:rPr>
        <w:t>представља</w:t>
      </w:r>
      <w:r w:rsidRPr="003A3306">
        <w:rPr>
          <w:rFonts w:ascii="Times New Roman" w:eastAsia="Times New Roman" w:hAnsi="Times New Roman" w:cs="Times New Roman"/>
          <w:bCs/>
          <w:color w:val="000000"/>
          <w:szCs w:val="24"/>
          <w:lang w:val="sr-Cyrl-RS" w:eastAsia="en-GB"/>
        </w:rPr>
        <w:t xml:space="preserve"> </w:t>
      </w:r>
      <w:r w:rsidR="006A4481" w:rsidRPr="003A3306">
        <w:rPr>
          <w:rFonts w:ascii="Times New Roman" w:eastAsia="Times New Roman" w:hAnsi="Times New Roman" w:cs="Times New Roman"/>
          <w:bCs/>
          <w:color w:val="000000"/>
          <w:szCs w:val="24"/>
          <w:lang w:val="sr-Cyrl-RS" w:eastAsia="en-GB"/>
        </w:rPr>
        <w:t>интегрални део анализе ефеката. Примена ММСП теста може указати на потребу за вршењем детаљне анализе ефеката</w:t>
      </w:r>
      <w:r w:rsidR="006A4481" w:rsidRPr="003A3306">
        <w:rPr>
          <w:rFonts w:ascii="Times New Roman" w:eastAsia="Times New Roman" w:hAnsi="Times New Roman" w:cs="Times New Roman"/>
          <w:bCs/>
          <w:color w:val="000000"/>
          <w:szCs w:val="24"/>
          <w:lang w:val="en-US" w:eastAsia="en-GB"/>
        </w:rPr>
        <w:t xml:space="preserve"> </w:t>
      </w:r>
      <w:r w:rsidR="006A4481" w:rsidRPr="003A3306">
        <w:rPr>
          <w:rFonts w:ascii="Times New Roman" w:eastAsia="Times New Roman" w:hAnsi="Times New Roman" w:cs="Times New Roman"/>
          <w:bCs/>
          <w:color w:val="000000"/>
          <w:szCs w:val="24"/>
          <w:lang w:val="sr-Cyrl-RS" w:eastAsia="en-GB"/>
        </w:rPr>
        <w:t>у складу са чл</w:t>
      </w:r>
      <w:r w:rsidR="00286B48">
        <w:rPr>
          <w:rFonts w:ascii="Times New Roman" w:eastAsia="Times New Roman" w:hAnsi="Times New Roman" w:cs="Times New Roman"/>
          <w:bCs/>
          <w:color w:val="000000"/>
          <w:szCs w:val="24"/>
          <w:lang w:val="sr-Cyrl-RS" w:eastAsia="en-GB"/>
        </w:rPr>
        <w:t xml:space="preserve">аном </w:t>
      </w:r>
      <w:r w:rsidR="006A4481" w:rsidRPr="003A3306">
        <w:rPr>
          <w:rFonts w:ascii="Times New Roman" w:eastAsia="Times New Roman" w:hAnsi="Times New Roman" w:cs="Times New Roman"/>
          <w:bCs/>
          <w:color w:val="000000"/>
          <w:szCs w:val="24"/>
          <w:lang w:val="sr-Cyrl-RS" w:eastAsia="en-GB"/>
        </w:rPr>
        <w:t>8. ст</w:t>
      </w:r>
      <w:r w:rsidR="00286B48">
        <w:rPr>
          <w:rFonts w:ascii="Times New Roman" w:eastAsia="Times New Roman" w:hAnsi="Times New Roman" w:cs="Times New Roman"/>
          <w:bCs/>
          <w:color w:val="000000"/>
          <w:szCs w:val="24"/>
          <w:lang w:val="sr-Cyrl-RS" w:eastAsia="en-GB"/>
        </w:rPr>
        <w:t>ав</w:t>
      </w:r>
      <w:r w:rsidR="006A4481" w:rsidRPr="003A3306">
        <w:rPr>
          <w:rFonts w:ascii="Times New Roman" w:eastAsia="Times New Roman" w:hAnsi="Times New Roman" w:cs="Times New Roman"/>
          <w:bCs/>
          <w:color w:val="000000"/>
          <w:szCs w:val="24"/>
          <w:lang w:val="sr-Cyrl-RS" w:eastAsia="en-GB"/>
        </w:rPr>
        <w:t xml:space="preserve"> 5.</w:t>
      </w:r>
      <w:r w:rsidR="006A4481" w:rsidRPr="003A3306">
        <w:rPr>
          <w:rFonts w:ascii="Times New Roman" w:eastAsia="Times New Roman" w:hAnsi="Times New Roman" w:cs="Times New Roman"/>
          <w:bCs/>
          <w:color w:val="000000"/>
          <w:szCs w:val="24"/>
          <w:lang w:val="sr-Latn-RS" w:eastAsia="en-GB"/>
        </w:rPr>
        <w:t xml:space="preserve"> </w:t>
      </w:r>
      <w:r w:rsidR="006A4481" w:rsidRPr="003A3306">
        <w:rPr>
          <w:rFonts w:ascii="Times New Roman" w:eastAsia="Times New Roman" w:hAnsi="Times New Roman" w:cs="Times New Roman"/>
          <w:bCs/>
          <w:color w:val="000000"/>
          <w:szCs w:val="24"/>
          <w:lang w:val="sr-Cyrl-RS" w:eastAsia="en-GB"/>
        </w:rPr>
        <w:t>Уредбе о анализи ефеката.</w:t>
      </w:r>
    </w:p>
    <w:p w14:paraId="36C7EFE2" w14:textId="1E397FAD" w:rsidR="006A4481" w:rsidRPr="003A3306" w:rsidRDefault="005F08A6" w:rsidP="003A330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142" w:right="95" w:firstLine="0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val="sr-Cyrl-RS" w:eastAsia="en-GB"/>
        </w:rPr>
      </w:pPr>
      <w:r w:rsidRPr="003A33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спроводи уз помоћ обрасца, који представља помоћну алатку </w:t>
      </w:r>
      <w:r w:rsidR="005D0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у облику контролне листе</w:t>
      </w:r>
    </w:p>
    <w:p w14:paraId="5F56232D" w14:textId="5F669D28" w:rsidR="006A4481" w:rsidRDefault="006A4481" w:rsidP="00947AE3">
      <w:pPr>
        <w:spacing w:before="60" w:after="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</w:pPr>
    </w:p>
    <w:p w14:paraId="589217C7" w14:textId="77777777" w:rsidR="006A4481" w:rsidRDefault="006A4481" w:rsidP="003A3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</w:pPr>
    </w:p>
    <w:p w14:paraId="3F643DA4" w14:textId="325E1A3C" w:rsidR="00A545FE" w:rsidRPr="0033354E" w:rsidRDefault="006D4D7C" w:rsidP="003A3306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354E">
        <w:rPr>
          <w:rFonts w:ascii="Times New Roman" w:hAnsi="Times New Roman" w:cs="Times New Roman"/>
          <w:b/>
          <w:sz w:val="24"/>
          <w:szCs w:val="24"/>
          <w:lang w:val="sr-Cyrl-RS"/>
        </w:rPr>
        <w:t>Шта обухвата ММСП?</w:t>
      </w:r>
    </w:p>
    <w:p w14:paraId="2FD14F5B" w14:textId="53B8529F" w:rsidR="00873071" w:rsidRDefault="003B04CC" w:rsidP="00BB356F">
      <w:pPr>
        <w:pStyle w:val="NormalWeb"/>
        <w:spacing w:after="0" w:line="270" w:lineRule="atLeast"/>
        <w:jc w:val="both"/>
        <w:textAlignment w:val="baseline"/>
        <w:rPr>
          <w:bCs/>
          <w:color w:val="000000"/>
          <w:lang w:val="sr-Cyrl-RS"/>
        </w:rPr>
      </w:pPr>
      <w:r>
        <w:rPr>
          <w:bCs/>
          <w:color w:val="000000"/>
          <w:lang w:val="sr-Cyrl-RS"/>
        </w:rPr>
        <w:t>ММСП сектор обухвата микро, мале и средње</w:t>
      </w:r>
      <w:r w:rsidR="00873071">
        <w:rPr>
          <w:bCs/>
          <w:color w:val="000000"/>
          <w:lang w:val="sr-Cyrl-RS"/>
        </w:rPr>
        <w:t xml:space="preserve"> </w:t>
      </w:r>
      <w:r>
        <w:rPr>
          <w:bCs/>
          <w:color w:val="000000"/>
          <w:lang w:val="sr-Cyrl-RS"/>
        </w:rPr>
        <w:t>привредне субјекте</w:t>
      </w:r>
      <w:r w:rsidR="00873071">
        <w:rPr>
          <w:bCs/>
          <w:color w:val="000000"/>
          <w:lang w:val="sr-Cyrl-RS"/>
        </w:rPr>
        <w:t xml:space="preserve"> и предузетнике. Предузетници (радње) као физичка лица која самостално обављају делатност су укључени у микро </w:t>
      </w:r>
      <w:r w:rsidR="006D3E78">
        <w:rPr>
          <w:bCs/>
          <w:color w:val="000000"/>
          <w:lang w:val="sr-Cyrl-RS"/>
        </w:rPr>
        <w:t>привредне субјекте</w:t>
      </w:r>
      <w:r w:rsidR="00873071">
        <w:rPr>
          <w:bCs/>
          <w:color w:val="000000"/>
          <w:lang w:val="sr-Cyrl-RS"/>
        </w:rPr>
        <w:t xml:space="preserve">. </w:t>
      </w:r>
      <w:r w:rsidR="00100E27" w:rsidRPr="00100E27">
        <w:rPr>
          <w:bCs/>
          <w:color w:val="000000"/>
          <w:lang w:val="sr-Cyrl-RS"/>
        </w:rPr>
        <w:t xml:space="preserve">Сектор МСПП у </w:t>
      </w:r>
      <w:r w:rsidR="00100E27">
        <w:rPr>
          <w:bCs/>
          <w:color w:val="000000"/>
          <w:lang w:val="sr-Cyrl-RS"/>
        </w:rPr>
        <w:t xml:space="preserve">Републици Србији обухвата више од </w:t>
      </w:r>
      <w:r w:rsidR="00100E27" w:rsidRPr="00100E27">
        <w:rPr>
          <w:bCs/>
          <w:color w:val="000000"/>
          <w:lang w:val="sr-Cyrl-RS"/>
        </w:rPr>
        <w:t>35</w:t>
      </w:r>
      <w:r w:rsidR="00100E27">
        <w:rPr>
          <w:bCs/>
          <w:color w:val="000000"/>
          <w:lang w:val="sr-Cyrl-RS"/>
        </w:rPr>
        <w:t xml:space="preserve">0 хиљада </w:t>
      </w:r>
      <w:r w:rsidR="006D3E78">
        <w:rPr>
          <w:bCs/>
          <w:color w:val="000000"/>
          <w:lang w:val="sr-Cyrl-RS"/>
        </w:rPr>
        <w:t xml:space="preserve">привредних субјеката </w:t>
      </w:r>
      <w:r w:rsidR="006514A5">
        <w:rPr>
          <w:bCs/>
          <w:color w:val="000000"/>
          <w:lang w:val="sr-Cyrl-RS"/>
        </w:rPr>
        <w:t xml:space="preserve">која стварају око трећине бруто додате вредности срепске приведе и </w:t>
      </w:r>
      <w:r w:rsidR="00D8479F">
        <w:rPr>
          <w:bCs/>
          <w:color w:val="000000"/>
          <w:lang w:val="sr-Cyrl-RS"/>
        </w:rPr>
        <w:t xml:space="preserve">имају учешће од </w:t>
      </w:r>
      <w:r w:rsidR="006514A5">
        <w:rPr>
          <w:bCs/>
          <w:color w:val="000000"/>
          <w:lang w:val="sr-Cyrl-RS"/>
        </w:rPr>
        <w:t>око 4</w:t>
      </w:r>
      <w:r w:rsidR="00D8479F">
        <w:rPr>
          <w:bCs/>
          <w:color w:val="000000"/>
          <w:lang w:val="sr-Cyrl-RS"/>
        </w:rPr>
        <w:t xml:space="preserve">4% </w:t>
      </w:r>
      <w:r w:rsidR="00100E27" w:rsidRPr="00100E27">
        <w:rPr>
          <w:bCs/>
          <w:color w:val="000000"/>
          <w:lang w:val="sr-Cyrl-RS"/>
        </w:rPr>
        <w:t>регистроване запослености</w:t>
      </w:r>
      <w:r w:rsidR="00D8479F">
        <w:rPr>
          <w:bCs/>
          <w:color w:val="000000"/>
          <w:lang w:val="sr-Cyrl-RS"/>
        </w:rPr>
        <w:t>.</w:t>
      </w:r>
      <w:r w:rsidR="00D8479F" w:rsidDel="00D8479F">
        <w:rPr>
          <w:bCs/>
          <w:color w:val="000000"/>
          <w:lang w:val="sr-Cyrl-RS"/>
        </w:rPr>
        <w:t xml:space="preserve"> </w:t>
      </w:r>
    </w:p>
    <w:p w14:paraId="467771F3" w14:textId="1218F44F" w:rsidR="00873071" w:rsidRDefault="00A8207B" w:rsidP="00873071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bCs/>
          <w:color w:val="000000"/>
          <w:lang w:val="sr-Cyrl-RS"/>
        </w:rPr>
      </w:pPr>
      <w:r>
        <w:rPr>
          <w:bCs/>
          <w:color w:val="000000"/>
          <w:lang w:val="sr-Cyrl-RS"/>
        </w:rPr>
        <w:t>За потребе спровођења ММСП теста</w:t>
      </w:r>
      <w:r w:rsidR="00873071">
        <w:rPr>
          <w:bCs/>
          <w:color w:val="000000"/>
          <w:lang w:val="en-US"/>
        </w:rPr>
        <w:t xml:space="preserve"> </w:t>
      </w:r>
      <w:r w:rsidR="004D466C">
        <w:rPr>
          <w:bCs/>
          <w:color w:val="000000"/>
          <w:lang w:val="sr-Cyrl-RS"/>
        </w:rPr>
        <w:t xml:space="preserve">препоручено је да се </w:t>
      </w:r>
      <w:r w:rsidR="00873071">
        <w:rPr>
          <w:bCs/>
          <w:color w:val="000000"/>
          <w:lang w:val="sr-Cyrl-RS"/>
        </w:rPr>
        <w:t>корист</w:t>
      </w:r>
      <w:r w:rsidR="004D466C">
        <w:rPr>
          <w:bCs/>
          <w:color w:val="000000"/>
          <w:lang w:val="sr-Cyrl-RS"/>
        </w:rPr>
        <w:t>и</w:t>
      </w:r>
      <w:r w:rsidR="00873071">
        <w:rPr>
          <w:bCs/>
          <w:color w:val="000000"/>
          <w:lang w:val="sr-Cyrl-RS"/>
        </w:rPr>
        <w:t xml:space="preserve"> обједињен</w:t>
      </w:r>
      <w:r w:rsidR="004D466C">
        <w:rPr>
          <w:bCs/>
          <w:color w:val="000000"/>
          <w:lang w:val="sr-Cyrl-RS"/>
        </w:rPr>
        <w:t>а</w:t>
      </w:r>
      <w:r w:rsidR="00873071">
        <w:rPr>
          <w:bCs/>
          <w:color w:val="000000"/>
          <w:lang w:val="sr-Cyrl-RS"/>
        </w:rPr>
        <w:t xml:space="preserve"> баз</w:t>
      </w:r>
      <w:r w:rsidR="004D466C">
        <w:rPr>
          <w:bCs/>
          <w:color w:val="000000"/>
          <w:lang w:val="sr-Cyrl-RS"/>
        </w:rPr>
        <w:t>а</w:t>
      </w:r>
      <w:r w:rsidR="00873071">
        <w:rPr>
          <w:bCs/>
          <w:color w:val="000000"/>
          <w:lang w:val="sr-Cyrl-RS"/>
        </w:rPr>
        <w:t xml:space="preserve"> података сектора малих и средњих </w:t>
      </w:r>
      <w:r w:rsidR="006D3E78">
        <w:rPr>
          <w:bCs/>
          <w:color w:val="000000"/>
          <w:lang w:val="sr-Cyrl-RS"/>
        </w:rPr>
        <w:t xml:space="preserve">привредних субјеката </w:t>
      </w:r>
      <w:r w:rsidR="00873071">
        <w:rPr>
          <w:bCs/>
          <w:color w:val="000000"/>
          <w:lang w:val="sr-Cyrl-RS"/>
        </w:rPr>
        <w:t xml:space="preserve">и предузетника </w:t>
      </w:r>
      <w:r w:rsidR="00E40304">
        <w:rPr>
          <w:bCs/>
          <w:color w:val="000000"/>
          <w:lang w:val="sr-Cyrl-RS"/>
        </w:rPr>
        <w:t xml:space="preserve">формирана у Републичком заводу за статистику </w:t>
      </w:r>
      <w:r w:rsidR="00873071">
        <w:rPr>
          <w:bCs/>
          <w:color w:val="000000"/>
          <w:lang w:val="sr-Cyrl-RS"/>
        </w:rPr>
        <w:t xml:space="preserve">на основу </w:t>
      </w:r>
      <w:r w:rsidR="00873071">
        <w:rPr>
          <w:bCs/>
          <w:color w:val="000000"/>
          <w:lang w:val="en-US"/>
        </w:rPr>
        <w:t>Eurostat</w:t>
      </w:r>
      <w:r w:rsidR="00873071">
        <w:rPr>
          <w:bCs/>
          <w:color w:val="000000"/>
        </w:rPr>
        <w:t xml:space="preserve"> </w:t>
      </w:r>
      <w:r w:rsidR="00873071">
        <w:rPr>
          <w:bCs/>
          <w:color w:val="000000"/>
          <w:lang w:val="sr-Cyrl-RS"/>
        </w:rPr>
        <w:t xml:space="preserve">методологије. Базе података о броју </w:t>
      </w:r>
      <w:r w:rsidR="006D3E78">
        <w:rPr>
          <w:bCs/>
          <w:color w:val="000000"/>
          <w:lang w:val="sr-Cyrl-RS"/>
        </w:rPr>
        <w:t>привредних субјеката</w:t>
      </w:r>
      <w:r w:rsidR="00873071">
        <w:rPr>
          <w:bCs/>
          <w:color w:val="000000"/>
          <w:lang w:val="sr-Cyrl-RS"/>
        </w:rPr>
        <w:t xml:space="preserve">, броју запослених успостављене су на основу завршних рачуна </w:t>
      </w:r>
      <w:r w:rsidR="006D3E78">
        <w:rPr>
          <w:bCs/>
          <w:color w:val="000000"/>
          <w:lang w:val="sr-Cyrl-RS"/>
        </w:rPr>
        <w:t>привредних субјеката</w:t>
      </w:r>
      <w:r w:rsidR="00873071">
        <w:rPr>
          <w:bCs/>
          <w:color w:val="000000"/>
          <w:lang w:val="sr-Cyrl-RS"/>
        </w:rPr>
        <w:t>, а број предузетника и број з</w:t>
      </w:r>
      <w:r w:rsidR="004D466C">
        <w:rPr>
          <w:bCs/>
          <w:color w:val="000000"/>
          <w:lang w:val="sr-Cyrl-RS"/>
        </w:rPr>
        <w:t>а</w:t>
      </w:r>
      <w:r w:rsidR="00873071">
        <w:rPr>
          <w:bCs/>
          <w:color w:val="000000"/>
          <w:lang w:val="sr-Cyrl-RS"/>
        </w:rPr>
        <w:t xml:space="preserve">послених код предузетника на основу података Пореске управе. </w:t>
      </w:r>
    </w:p>
    <w:p w14:paraId="758AA5F4" w14:textId="77777777" w:rsidR="005E0932" w:rsidRDefault="005E0932" w:rsidP="00873071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bCs/>
          <w:color w:val="000000"/>
          <w:lang w:val="sr-Cyrl-RS"/>
        </w:rPr>
      </w:pPr>
    </w:p>
    <w:p w14:paraId="1AD1D286" w14:textId="54BF8DC2" w:rsidR="00C010FD" w:rsidRPr="00947AE3" w:rsidRDefault="00C010FD" w:rsidP="0073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GB"/>
        </w:rPr>
      </w:pPr>
    </w:p>
    <w:p w14:paraId="1512E4F1" w14:textId="7493FDA5" w:rsidR="002C384A" w:rsidRPr="00062E05" w:rsidRDefault="002C384A" w:rsidP="003A3306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Како се спроводи</w:t>
      </w:r>
      <w:r w:rsidRPr="00062E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ММСП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тест</w:t>
      </w:r>
      <w:r w:rsidRPr="00062E05">
        <w:rPr>
          <w:rFonts w:ascii="Times New Roman" w:hAnsi="Times New Roman" w:cs="Times New Roman"/>
          <w:b/>
          <w:sz w:val="24"/>
          <w:szCs w:val="24"/>
          <w:lang w:val="sr-Cyrl-RS"/>
        </w:rPr>
        <w:t>?</w:t>
      </w:r>
    </w:p>
    <w:p w14:paraId="76FE4E68" w14:textId="77777777" w:rsidR="002C384A" w:rsidRDefault="002C384A" w:rsidP="00C01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</w:pPr>
    </w:p>
    <w:p w14:paraId="7DEC8A42" w14:textId="497DB7BB" w:rsidR="00C010FD" w:rsidRPr="005411B8" w:rsidRDefault="004D466C" w:rsidP="00C01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Сам тест утицаја на </w:t>
      </w:r>
      <w:r w:rsidR="0080581A"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М</w:t>
      </w:r>
      <w:r w:rsidR="00C010FD"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МСП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подразумева анализу коју чине</w:t>
      </w:r>
      <w:r w:rsidR="00C010FD"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 четири корака</w:t>
      </w:r>
      <w:r w:rsidR="00A9280A">
        <w:rPr>
          <w:rStyle w:val="FootnoteReference"/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footnoteReference w:id="1"/>
      </w:r>
      <w:r w:rsidR="00C010FD" w:rsidRPr="0054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:</w:t>
      </w:r>
    </w:p>
    <w:p w14:paraId="50BF8E79" w14:textId="77777777" w:rsidR="00C010FD" w:rsidRPr="005411B8" w:rsidRDefault="00C010FD" w:rsidP="00C010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0AC3E" w14:textId="5A6A52D6" w:rsidR="00C010FD" w:rsidRPr="005411B8" w:rsidRDefault="007C3AEF" w:rsidP="00C010F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1B8">
        <w:rPr>
          <w:rFonts w:ascii="Times New Roman" w:hAnsi="Times New Roman" w:cs="Times New Roman"/>
          <w:sz w:val="24"/>
          <w:szCs w:val="24"/>
          <w:lang w:val="sr-Cyrl-RS"/>
        </w:rPr>
        <w:t xml:space="preserve">Утврђивање </w:t>
      </w:r>
      <w:r w:rsidR="00AF79AA">
        <w:rPr>
          <w:rFonts w:ascii="Times New Roman" w:hAnsi="Times New Roman" w:cs="Times New Roman"/>
          <w:sz w:val="24"/>
          <w:szCs w:val="24"/>
          <w:lang w:val="sr-Cyrl-RS"/>
        </w:rPr>
        <w:t xml:space="preserve">постојања </w:t>
      </w:r>
      <w:r w:rsidRPr="005411B8">
        <w:rPr>
          <w:rFonts w:ascii="Times New Roman" w:hAnsi="Times New Roman" w:cs="Times New Roman"/>
          <w:sz w:val="24"/>
          <w:szCs w:val="24"/>
          <w:lang w:val="sr-Cyrl-RS"/>
        </w:rPr>
        <w:t xml:space="preserve">утицаја </w:t>
      </w:r>
      <w:r w:rsidR="00AF79AA">
        <w:rPr>
          <w:rFonts w:ascii="Times New Roman" w:hAnsi="Times New Roman" w:cs="Times New Roman"/>
          <w:sz w:val="24"/>
          <w:szCs w:val="24"/>
          <w:lang w:val="sr-Cyrl-RS"/>
        </w:rPr>
        <w:t xml:space="preserve">и броја и структуре </w:t>
      </w:r>
      <w:r w:rsidR="00C010FD" w:rsidRPr="005411B8">
        <w:rPr>
          <w:rFonts w:ascii="Times New Roman" w:hAnsi="Times New Roman" w:cs="Times New Roman"/>
          <w:sz w:val="24"/>
          <w:szCs w:val="24"/>
          <w:lang w:val="sr-Cyrl-RS"/>
        </w:rPr>
        <w:t xml:space="preserve">погођених </w:t>
      </w:r>
      <w:r w:rsidR="00AF79AA">
        <w:rPr>
          <w:rFonts w:ascii="Times New Roman" w:hAnsi="Times New Roman" w:cs="Times New Roman"/>
          <w:sz w:val="24"/>
          <w:szCs w:val="24"/>
          <w:lang w:val="sr-Cyrl-RS"/>
        </w:rPr>
        <w:t>ММСП;</w:t>
      </w:r>
    </w:p>
    <w:p w14:paraId="6ABA4857" w14:textId="64D62954" w:rsidR="00C010FD" w:rsidRPr="005411B8" w:rsidRDefault="00C010FD" w:rsidP="00C010F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1B8">
        <w:rPr>
          <w:rFonts w:ascii="Times New Roman" w:hAnsi="Times New Roman" w:cs="Times New Roman"/>
          <w:sz w:val="24"/>
          <w:szCs w:val="24"/>
          <w:lang w:val="sr-Cyrl-RS"/>
        </w:rPr>
        <w:t xml:space="preserve">Консултације са заинтересованим </w:t>
      </w:r>
      <w:r w:rsidR="00AF79AA">
        <w:rPr>
          <w:rFonts w:ascii="Times New Roman" w:hAnsi="Times New Roman" w:cs="Times New Roman"/>
          <w:sz w:val="24"/>
          <w:szCs w:val="24"/>
          <w:lang w:val="sr-Cyrl-RS"/>
        </w:rPr>
        <w:t>ММСП;</w:t>
      </w:r>
    </w:p>
    <w:p w14:paraId="27C663D2" w14:textId="039E3C5D" w:rsidR="00165A82" w:rsidRPr="005411B8" w:rsidRDefault="00165A82" w:rsidP="00165A8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1B8">
        <w:rPr>
          <w:rFonts w:ascii="Times New Roman" w:hAnsi="Times New Roman" w:cs="Times New Roman"/>
          <w:sz w:val="24"/>
          <w:szCs w:val="24"/>
          <w:lang w:val="sr-Cyrl-RS"/>
        </w:rPr>
        <w:t xml:space="preserve">Анализа и приказ опција и мера којима се умањује терет прилагођавања </w:t>
      </w:r>
      <w:r w:rsidR="00AF79AA">
        <w:rPr>
          <w:rFonts w:ascii="Times New Roman" w:hAnsi="Times New Roman" w:cs="Times New Roman"/>
          <w:sz w:val="24"/>
          <w:szCs w:val="24"/>
          <w:lang w:val="sr-Cyrl-RS"/>
        </w:rPr>
        <w:t>ММСП и други негативни ефекти по њихово пословање;</w:t>
      </w:r>
    </w:p>
    <w:p w14:paraId="622F4B36" w14:textId="49B1F5B7" w:rsidR="00C010FD" w:rsidRPr="005411B8" w:rsidRDefault="00165A82" w:rsidP="00C010F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1B8">
        <w:rPr>
          <w:rFonts w:ascii="Times New Roman" w:hAnsi="Times New Roman" w:cs="Times New Roman"/>
          <w:sz w:val="24"/>
          <w:szCs w:val="24"/>
          <w:lang w:val="sr-Cyrl-RS"/>
        </w:rPr>
        <w:t xml:space="preserve">Утврђивање величине </w:t>
      </w:r>
      <w:r w:rsidR="005411B8" w:rsidRPr="005411B8">
        <w:rPr>
          <w:rFonts w:ascii="Times New Roman" w:hAnsi="Times New Roman" w:cs="Times New Roman"/>
          <w:sz w:val="24"/>
          <w:szCs w:val="24"/>
          <w:lang w:val="sr-Cyrl-RS"/>
        </w:rPr>
        <w:t>утицај</w:t>
      </w:r>
      <w:r w:rsidR="0001215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010FD" w:rsidRPr="005411B8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 w:rsidR="00AF79AA">
        <w:rPr>
          <w:rFonts w:ascii="Times New Roman" w:hAnsi="Times New Roman" w:cs="Times New Roman"/>
          <w:sz w:val="24"/>
          <w:szCs w:val="24"/>
          <w:lang w:val="sr-Cyrl-RS"/>
        </w:rPr>
        <w:t>ММСП</w:t>
      </w:r>
      <w:r w:rsidR="003D07B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F79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6C60C57" w14:textId="77777777" w:rsidR="00C010FD" w:rsidRPr="005411B8" w:rsidRDefault="00C010FD" w:rsidP="007357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E666EC" w14:textId="25121A9B" w:rsidR="004D466C" w:rsidRDefault="006E41C6" w:rsidP="007357D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Примена ММСП теста је релативно једноставна. </w:t>
      </w:r>
      <w:r w:rsidR="00AF79AA">
        <w:rPr>
          <w:rFonts w:ascii="Times New Roman" w:hAnsi="Times New Roman" w:cs="Times New Roman"/>
          <w:sz w:val="24"/>
          <w:szCs w:val="24"/>
          <w:lang w:val="sr-Cyrl-RS"/>
        </w:rPr>
        <w:t>ММСП т</w:t>
      </w:r>
      <w:r w:rsidR="0046184D" w:rsidRPr="005411B8">
        <w:rPr>
          <w:rFonts w:ascii="Times New Roman" w:hAnsi="Times New Roman" w:cs="Times New Roman"/>
          <w:sz w:val="24"/>
          <w:szCs w:val="24"/>
          <w:lang w:val="sr-Cyrl-RS"/>
        </w:rPr>
        <w:t>ест користи метод путем којег одређени одговор</w:t>
      </w:r>
      <w:r w:rsidR="001D6A1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6184D" w:rsidRPr="005411B8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 w:rsidR="00861358">
        <w:rPr>
          <w:rFonts w:ascii="Times New Roman" w:hAnsi="Times New Roman" w:cs="Times New Roman"/>
          <w:sz w:val="24"/>
          <w:szCs w:val="24"/>
          <w:lang w:val="sr-Cyrl-RS"/>
        </w:rPr>
        <w:t xml:space="preserve">постављена </w:t>
      </w:r>
      <w:r w:rsidR="0046184D" w:rsidRPr="005411B8">
        <w:rPr>
          <w:rFonts w:ascii="Times New Roman" w:hAnsi="Times New Roman" w:cs="Times New Roman"/>
          <w:sz w:val="24"/>
          <w:szCs w:val="24"/>
          <w:lang w:val="sr-Cyrl-RS"/>
        </w:rPr>
        <w:t>питања усмерава</w:t>
      </w:r>
      <w:r w:rsidR="001D6A1A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46184D" w:rsidRPr="005411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A1A">
        <w:rPr>
          <w:rFonts w:ascii="Times New Roman" w:hAnsi="Times New Roman" w:cs="Times New Roman"/>
          <w:sz w:val="24"/>
          <w:szCs w:val="24"/>
          <w:lang w:val="sr-Cyrl-RS"/>
        </w:rPr>
        <w:t xml:space="preserve">лице које спроводи тест </w:t>
      </w:r>
      <w:r w:rsidR="0046184D" w:rsidRPr="005411B8">
        <w:rPr>
          <w:rFonts w:ascii="Times New Roman" w:hAnsi="Times New Roman" w:cs="Times New Roman"/>
          <w:sz w:val="24"/>
          <w:szCs w:val="24"/>
          <w:lang w:val="sr-Cyrl-RS"/>
        </w:rPr>
        <w:t>ка другим питањима избегавајући непотребан трошак времена.</w:t>
      </w:r>
      <w:r w:rsidR="001C0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466C">
        <w:rPr>
          <w:rFonts w:ascii="Times New Roman" w:hAnsi="Times New Roman" w:cs="Times New Roman"/>
          <w:sz w:val="24"/>
          <w:szCs w:val="24"/>
          <w:lang w:val="sr-Cyrl-RS"/>
        </w:rPr>
        <w:t xml:space="preserve">ММСП тест се састоји из </w:t>
      </w:r>
      <w:r w:rsidR="005F3370">
        <w:rPr>
          <w:rFonts w:ascii="Times New Roman" w:hAnsi="Times New Roman" w:cs="Times New Roman"/>
          <w:sz w:val="24"/>
          <w:szCs w:val="24"/>
          <w:lang w:val="sr-Cyrl-RS"/>
        </w:rPr>
        <w:t>че</w:t>
      </w:r>
      <w:r w:rsidR="004D466C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F735F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D466C">
        <w:rPr>
          <w:rFonts w:ascii="Times New Roman" w:hAnsi="Times New Roman" w:cs="Times New Roman"/>
          <w:sz w:val="24"/>
          <w:szCs w:val="24"/>
          <w:lang w:val="sr-Cyrl-RS"/>
        </w:rPr>
        <w:t>ри дела</w:t>
      </w:r>
      <w:r w:rsidR="0086135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8E31109" w14:textId="4D6AC4F5" w:rsidR="00B0773F" w:rsidRDefault="004D466C" w:rsidP="003A3306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B356F">
        <w:rPr>
          <w:rFonts w:ascii="Times New Roman" w:hAnsi="Times New Roman" w:cs="Times New Roman"/>
          <w:b/>
          <w:sz w:val="24"/>
          <w:szCs w:val="24"/>
          <w:lang w:val="sr-Cyrl-RS"/>
        </w:rPr>
        <w:t>Утврђивање постојања утицаја на ММСП.</w:t>
      </w:r>
      <w:r w:rsidRPr="00BB3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1358" w:rsidRPr="00BB356F">
        <w:rPr>
          <w:rFonts w:ascii="Times New Roman" w:hAnsi="Times New Roman" w:cs="Times New Roman"/>
          <w:sz w:val="24"/>
          <w:szCs w:val="24"/>
          <w:lang w:val="sr-Cyrl-RS"/>
        </w:rPr>
        <w:t>У случају да пропис не утиче на привредне субјекте, односно да не утиче на ММСП није потребно спровести анализу</w:t>
      </w:r>
      <w:r w:rsidR="00B0773F">
        <w:rPr>
          <w:rFonts w:ascii="Times New Roman" w:hAnsi="Times New Roman" w:cs="Times New Roman"/>
          <w:sz w:val="24"/>
          <w:szCs w:val="24"/>
          <w:lang w:val="sr-Cyrl-RS"/>
        </w:rPr>
        <w:t xml:space="preserve"> (питања </w:t>
      </w:r>
      <w:r w:rsidR="006053ED">
        <w:rPr>
          <w:rFonts w:ascii="Times New Roman" w:hAnsi="Times New Roman" w:cs="Times New Roman"/>
          <w:sz w:val="24"/>
          <w:szCs w:val="24"/>
          <w:lang w:val="sr-Cyrl-RS"/>
        </w:rPr>
        <w:t>бр.</w:t>
      </w:r>
      <w:r w:rsidR="00B0773F">
        <w:rPr>
          <w:rFonts w:ascii="Times New Roman" w:hAnsi="Times New Roman" w:cs="Times New Roman"/>
          <w:sz w:val="24"/>
          <w:szCs w:val="24"/>
          <w:lang w:val="sr-Cyrl-RS"/>
        </w:rPr>
        <w:t xml:space="preserve">1. и </w:t>
      </w:r>
      <w:r w:rsidR="006053ED">
        <w:rPr>
          <w:rFonts w:ascii="Times New Roman" w:hAnsi="Times New Roman" w:cs="Times New Roman"/>
          <w:sz w:val="24"/>
          <w:szCs w:val="24"/>
          <w:lang w:val="sr-Cyrl-RS"/>
        </w:rPr>
        <w:t xml:space="preserve"> бр. </w:t>
      </w:r>
      <w:r w:rsidR="00B0773F">
        <w:rPr>
          <w:rFonts w:ascii="Times New Roman" w:hAnsi="Times New Roman" w:cs="Times New Roman"/>
          <w:sz w:val="24"/>
          <w:szCs w:val="24"/>
          <w:lang w:val="sr-Cyrl-RS"/>
        </w:rPr>
        <w:t>2. Обра</w:t>
      </w:r>
      <w:r w:rsidR="006C205B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E96A15">
        <w:rPr>
          <w:rFonts w:ascii="Times New Roman" w:hAnsi="Times New Roman" w:cs="Times New Roman"/>
          <w:sz w:val="24"/>
          <w:szCs w:val="24"/>
          <w:lang w:val="sr-Cyrl-RS"/>
        </w:rPr>
        <w:t>ца)</w:t>
      </w:r>
      <w:r w:rsidR="006C205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D53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F5AD6A2" w14:textId="1AE8CF42" w:rsidR="00801C56" w:rsidRPr="00BB356F" w:rsidRDefault="00801C56" w:rsidP="00801C56">
      <w:pPr>
        <w:pStyle w:val="ListParagraph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555D06" w14:textId="10A6939D" w:rsidR="005D0F82" w:rsidRDefault="00801C56" w:rsidP="004C1ACA">
      <w:pPr>
        <w:pStyle w:val="ListParagraph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B356F">
        <w:rPr>
          <w:rFonts w:ascii="Times New Roman" w:hAnsi="Times New Roman" w:cs="Times New Roman"/>
          <w:sz w:val="24"/>
          <w:szCs w:val="24"/>
          <w:lang w:val="sr-Cyrl-RS"/>
        </w:rPr>
        <w:t xml:space="preserve">У случају да се утврди да се прописом утиче на ММСП, </w:t>
      </w:r>
      <w:r w:rsidR="00C65C75" w:rsidRPr="00BB356F">
        <w:rPr>
          <w:rFonts w:ascii="Times New Roman" w:hAnsi="Times New Roman" w:cs="Times New Roman"/>
          <w:sz w:val="24"/>
          <w:szCs w:val="24"/>
          <w:lang w:val="sr-Cyrl-RS"/>
        </w:rPr>
        <w:t xml:space="preserve">да ли </w:t>
      </w:r>
      <w:r w:rsidR="004D59DB" w:rsidRPr="00BB356F">
        <w:rPr>
          <w:rFonts w:ascii="Times New Roman" w:hAnsi="Times New Roman" w:cs="Times New Roman"/>
          <w:sz w:val="24"/>
          <w:szCs w:val="24"/>
          <w:lang w:val="sr-Cyrl-RS"/>
        </w:rPr>
        <w:t xml:space="preserve">интервенција погађа </w:t>
      </w:r>
      <w:r w:rsidR="00C65C75" w:rsidRPr="00BB356F">
        <w:rPr>
          <w:rFonts w:ascii="Times New Roman" w:hAnsi="Times New Roman" w:cs="Times New Roman"/>
          <w:sz w:val="24"/>
          <w:szCs w:val="24"/>
          <w:lang w:val="sr-Cyrl-RS"/>
        </w:rPr>
        <w:t xml:space="preserve">све ММСП </w:t>
      </w:r>
      <w:r w:rsidR="00F5724D" w:rsidRPr="00BB356F">
        <w:rPr>
          <w:rFonts w:ascii="Times New Roman" w:hAnsi="Times New Roman" w:cs="Times New Roman"/>
          <w:sz w:val="24"/>
          <w:szCs w:val="24"/>
          <w:lang w:val="sr-Cyrl-RS"/>
        </w:rPr>
        <w:t xml:space="preserve">(питање </w:t>
      </w:r>
      <w:r w:rsidR="006053ED">
        <w:rPr>
          <w:rFonts w:ascii="Times New Roman" w:hAnsi="Times New Roman" w:cs="Times New Roman"/>
          <w:sz w:val="24"/>
          <w:szCs w:val="24"/>
          <w:lang w:val="sr-Cyrl-RS"/>
        </w:rPr>
        <w:t xml:space="preserve">бр. </w:t>
      </w:r>
      <w:r w:rsidR="00F5724D" w:rsidRPr="00BB356F">
        <w:rPr>
          <w:rFonts w:ascii="Times New Roman" w:hAnsi="Times New Roman" w:cs="Times New Roman"/>
          <w:sz w:val="24"/>
          <w:szCs w:val="24"/>
          <w:lang w:val="sr-Cyrl-RS"/>
        </w:rPr>
        <w:t xml:space="preserve">3) </w:t>
      </w:r>
      <w:r w:rsidR="00C65C75" w:rsidRPr="00BB356F">
        <w:rPr>
          <w:rFonts w:ascii="Times New Roman" w:hAnsi="Times New Roman" w:cs="Times New Roman"/>
          <w:sz w:val="24"/>
          <w:szCs w:val="24"/>
          <w:lang w:val="sr-Cyrl-RS"/>
        </w:rPr>
        <w:t xml:space="preserve">или само </w:t>
      </w:r>
      <w:r w:rsidR="0049463A" w:rsidRPr="004C1AC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49463A" w:rsidRPr="00BB3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1F53" w:rsidRPr="00BB356F">
        <w:rPr>
          <w:rFonts w:ascii="Times New Roman" w:hAnsi="Times New Roman" w:cs="Times New Roman"/>
          <w:sz w:val="24"/>
          <w:szCs w:val="24"/>
          <w:lang w:val="sr-Cyrl-RS"/>
        </w:rPr>
        <w:t>поједине категорије ММСП према правној форми</w:t>
      </w:r>
      <w:r w:rsidR="004C1ACA" w:rsidRPr="004C1ACA">
        <w:rPr>
          <w:rFonts w:ascii="Times New Roman" w:hAnsi="Times New Roman" w:cs="Times New Roman"/>
          <w:sz w:val="24"/>
          <w:szCs w:val="24"/>
          <w:lang w:val="sr-Cyrl-RS"/>
        </w:rPr>
        <w:t xml:space="preserve">, величини </w:t>
      </w:r>
      <w:r w:rsidR="00741F53" w:rsidRPr="00BB356F">
        <w:rPr>
          <w:rFonts w:ascii="Times New Roman" w:hAnsi="Times New Roman" w:cs="Times New Roman"/>
          <w:sz w:val="24"/>
          <w:szCs w:val="24"/>
          <w:lang w:val="sr-Cyrl-RS"/>
        </w:rPr>
        <w:t>или делатности</w:t>
      </w:r>
      <w:r w:rsidR="0049463A" w:rsidRPr="004C1ACA">
        <w:rPr>
          <w:rFonts w:ascii="Times New Roman" w:hAnsi="Times New Roman" w:cs="Times New Roman"/>
          <w:sz w:val="24"/>
          <w:szCs w:val="24"/>
          <w:lang w:val="sr-Cyrl-RS"/>
        </w:rPr>
        <w:t xml:space="preserve"> (питање </w:t>
      </w:r>
      <w:r w:rsidR="006053ED">
        <w:rPr>
          <w:rFonts w:ascii="Times New Roman" w:hAnsi="Times New Roman" w:cs="Times New Roman"/>
          <w:sz w:val="24"/>
          <w:szCs w:val="24"/>
          <w:lang w:val="sr-Cyrl-RS"/>
        </w:rPr>
        <w:t xml:space="preserve">бр. </w:t>
      </w:r>
      <w:r w:rsidR="0049463A" w:rsidRPr="004C1ACA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49463A" w:rsidRPr="00186643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41F53" w:rsidRPr="00BB356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61358" w:rsidRPr="00BB3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3135FD6" w14:textId="59506FB4" w:rsidR="00186643" w:rsidRDefault="00186643" w:rsidP="004C1ACA">
      <w:pPr>
        <w:pStyle w:val="ListParagraph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DA39DB" w14:textId="3865A434" w:rsidR="00186643" w:rsidRDefault="00186643" w:rsidP="00BB356F">
      <w:pPr>
        <w:pStyle w:val="ListParagraph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Одговор на последња два питања </w:t>
      </w:r>
      <w:r w:rsidR="00F350CD">
        <w:rPr>
          <w:rFonts w:ascii="Times New Roman" w:hAnsi="Times New Roman" w:cs="Times New Roman"/>
          <w:sz w:val="24"/>
          <w:szCs w:val="24"/>
          <w:lang w:val="sr-Cyrl-RS"/>
        </w:rPr>
        <w:t>је једноставно навођење броја привредних субјеката</w:t>
      </w:r>
      <w:r w:rsidR="00777009">
        <w:rPr>
          <w:rFonts w:ascii="Times New Roman" w:hAnsi="Times New Roman" w:cs="Times New Roman"/>
          <w:sz w:val="24"/>
          <w:szCs w:val="24"/>
          <w:lang w:val="sr-Cyrl-RS"/>
        </w:rPr>
        <w:t xml:space="preserve"> (питање бр. 5)</w:t>
      </w:r>
      <w:r w:rsidR="00F350CD">
        <w:rPr>
          <w:rFonts w:ascii="Times New Roman" w:hAnsi="Times New Roman" w:cs="Times New Roman"/>
          <w:sz w:val="24"/>
          <w:szCs w:val="24"/>
          <w:lang w:val="sr-Cyrl-RS"/>
        </w:rPr>
        <w:t>, односно броја запослених</w:t>
      </w:r>
      <w:r w:rsidR="00777009">
        <w:rPr>
          <w:rFonts w:ascii="Times New Roman" w:hAnsi="Times New Roman" w:cs="Times New Roman"/>
          <w:sz w:val="24"/>
          <w:szCs w:val="24"/>
          <w:lang w:val="sr-Cyrl-RS"/>
        </w:rPr>
        <w:t xml:space="preserve"> (питање бр.6)</w:t>
      </w:r>
      <w:r w:rsidR="00F350CD">
        <w:rPr>
          <w:rFonts w:ascii="Times New Roman" w:hAnsi="Times New Roman" w:cs="Times New Roman"/>
          <w:sz w:val="24"/>
          <w:szCs w:val="24"/>
          <w:lang w:val="sr-Cyrl-RS"/>
        </w:rPr>
        <w:t>. Извор података може бити</w:t>
      </w:r>
      <w:r w:rsidR="00301277">
        <w:rPr>
          <w:rFonts w:ascii="Times New Roman" w:hAnsi="Times New Roman" w:cs="Times New Roman"/>
          <w:sz w:val="24"/>
          <w:szCs w:val="24"/>
          <w:lang w:val="sr-Cyrl-RS"/>
        </w:rPr>
        <w:t xml:space="preserve"> или база података Републичког завода за статистику или уколико је реч о релативно уској примени прописа </w:t>
      </w:r>
      <w:r w:rsidR="00925068">
        <w:rPr>
          <w:rFonts w:ascii="Times New Roman" w:hAnsi="Times New Roman" w:cs="Times New Roman"/>
          <w:sz w:val="24"/>
          <w:szCs w:val="24"/>
          <w:lang w:val="sr-Cyrl-RS"/>
        </w:rPr>
        <w:t xml:space="preserve">(ако се регулише само одређени сектор) то може бити и евиденција </w:t>
      </w:r>
      <w:r w:rsidR="008C276C">
        <w:rPr>
          <w:rFonts w:ascii="Times New Roman" w:hAnsi="Times New Roman" w:cs="Times New Roman"/>
          <w:sz w:val="24"/>
          <w:szCs w:val="24"/>
          <w:lang w:val="sr-Cyrl-RS"/>
        </w:rPr>
        <w:t>(или процена) предлагача</w:t>
      </w:r>
      <w:r w:rsidR="0077700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09131722" w14:textId="7E8FE968" w:rsidR="004A4E9C" w:rsidRDefault="00C4334E" w:rsidP="004A4E9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 w:line="270" w:lineRule="atLeast"/>
        <w:ind w:left="142" w:right="95"/>
        <w:jc w:val="both"/>
        <w:textAlignment w:val="baseline"/>
        <w:rPr>
          <w:bCs/>
          <w:color w:val="000000"/>
          <w:sz w:val="22"/>
          <w:lang w:val="sr-Cyrl-RS"/>
        </w:rPr>
      </w:pPr>
      <w:r>
        <w:rPr>
          <w:bCs/>
          <w:color w:val="000000"/>
          <w:sz w:val="22"/>
          <w:lang w:val="sr-Cyrl-RS"/>
        </w:rPr>
        <w:t xml:space="preserve">Уколико се </w:t>
      </w:r>
      <w:r w:rsidR="00774A3D">
        <w:rPr>
          <w:bCs/>
          <w:color w:val="000000"/>
          <w:sz w:val="22"/>
          <w:lang w:val="sr-Cyrl-RS"/>
        </w:rPr>
        <w:t>пропис односи на целокупан сектор ММСП или на одређене секторе п</w:t>
      </w:r>
      <w:r w:rsidR="0076417D">
        <w:rPr>
          <w:bCs/>
          <w:color w:val="000000"/>
          <w:sz w:val="22"/>
          <w:lang w:val="sr-Cyrl-RS"/>
        </w:rPr>
        <w:t>отребн</w:t>
      </w:r>
      <w:r w:rsidR="004A4E9C">
        <w:rPr>
          <w:bCs/>
          <w:color w:val="000000"/>
          <w:sz w:val="22"/>
          <w:lang w:val="sr-Cyrl-RS"/>
        </w:rPr>
        <w:t xml:space="preserve">и подаци могу се </w:t>
      </w:r>
      <w:r w:rsidR="0076417D">
        <w:rPr>
          <w:bCs/>
          <w:color w:val="000000"/>
          <w:sz w:val="22"/>
          <w:lang w:val="sr-Cyrl-RS"/>
        </w:rPr>
        <w:t>наћи</w:t>
      </w:r>
      <w:r w:rsidR="00011A3C">
        <w:rPr>
          <w:bCs/>
          <w:color w:val="000000"/>
          <w:sz w:val="22"/>
          <w:lang w:val="sr-Cyrl-RS"/>
        </w:rPr>
        <w:t xml:space="preserve"> у</w:t>
      </w:r>
    </w:p>
    <w:p w14:paraId="589631F5" w14:textId="77777777" w:rsidR="004A4E9C" w:rsidRDefault="004A4E9C" w:rsidP="002465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 w:line="270" w:lineRule="atLeast"/>
        <w:ind w:left="142" w:right="95"/>
        <w:jc w:val="both"/>
        <w:textAlignment w:val="baseline"/>
        <w:rPr>
          <w:bCs/>
          <w:color w:val="000000"/>
          <w:sz w:val="22"/>
          <w:lang w:val="sr-Cyrl-RS"/>
        </w:rPr>
      </w:pPr>
    </w:p>
    <w:p w14:paraId="7354B5FF" w14:textId="67F947C3" w:rsidR="00A94303" w:rsidRPr="00246590" w:rsidRDefault="00011A3C" w:rsidP="00522333">
      <w:pPr>
        <w:pStyle w:val="NormalWeb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 w:line="270" w:lineRule="atLeast"/>
        <w:ind w:right="95"/>
        <w:jc w:val="both"/>
        <w:textAlignment w:val="baseline"/>
        <w:rPr>
          <w:bCs/>
          <w:color w:val="000000"/>
          <w:sz w:val="22"/>
          <w:lang w:val="sr-Cyrl-RS"/>
        </w:rPr>
      </w:pPr>
      <w:r w:rsidRPr="00522333">
        <w:rPr>
          <w:bCs/>
          <w:color w:val="000000"/>
          <w:sz w:val="22"/>
          <w:lang w:val="sr-Cyrl-RS"/>
        </w:rPr>
        <w:t xml:space="preserve"> </w:t>
      </w:r>
      <w:r w:rsidR="006D3E78">
        <w:rPr>
          <w:b/>
          <w:bCs/>
          <w:color w:val="000000"/>
          <w:sz w:val="22"/>
          <w:lang w:val="sr-Cyrl-RS"/>
        </w:rPr>
        <w:t>Привредни субјекти</w:t>
      </w:r>
      <w:r w:rsidR="00522333" w:rsidRPr="00522333">
        <w:rPr>
          <w:b/>
          <w:bCs/>
          <w:color w:val="000000"/>
          <w:sz w:val="22"/>
          <w:lang w:val="sr-Cyrl-RS"/>
        </w:rPr>
        <w:t xml:space="preserve"> по величини и предузетници у Републици Србији</w:t>
      </w:r>
      <w:r w:rsidR="00522333">
        <w:rPr>
          <w:b/>
          <w:bCs/>
          <w:color w:val="000000"/>
          <w:sz w:val="22"/>
          <w:lang w:val="sr-Cyrl-RS"/>
        </w:rPr>
        <w:t xml:space="preserve"> Републичког завода за статистику. </w:t>
      </w:r>
      <w:r w:rsidR="00837C56" w:rsidRPr="00522333">
        <w:rPr>
          <w:bCs/>
          <w:color w:val="000000"/>
          <w:sz w:val="22"/>
          <w:lang w:val="sr-Cyrl-RS"/>
        </w:rPr>
        <w:t>Последњи извештај доступан је на интернет адреси:</w:t>
      </w:r>
      <w:r w:rsidR="00154051" w:rsidRPr="00522333">
        <w:rPr>
          <w:bCs/>
          <w:color w:val="000000"/>
          <w:sz w:val="22"/>
          <w:lang w:val="sr-Cyrl-RS"/>
        </w:rPr>
        <w:t xml:space="preserve"> </w:t>
      </w:r>
      <w:hyperlink r:id="rId8" w:history="1">
        <w:r w:rsidR="00154051">
          <w:rPr>
            <w:rStyle w:val="Hyperlink"/>
          </w:rPr>
          <w:t>http://publikacije.stat.gov.rs/G2019/Pdf/G20196001.pdf</w:t>
        </w:r>
      </w:hyperlink>
      <w:r w:rsidR="00154051" w:rsidRPr="00522333">
        <w:rPr>
          <w:lang w:val="sr-Cyrl-RS"/>
        </w:rPr>
        <w:t xml:space="preserve"> </w:t>
      </w:r>
    </w:p>
    <w:p w14:paraId="713A2D65" w14:textId="77777777" w:rsidR="00522333" w:rsidRPr="00522333" w:rsidRDefault="00522333" w:rsidP="002465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 w:line="270" w:lineRule="atLeast"/>
        <w:ind w:left="142" w:right="95"/>
        <w:jc w:val="both"/>
        <w:textAlignment w:val="baseline"/>
        <w:rPr>
          <w:bCs/>
          <w:color w:val="000000"/>
          <w:sz w:val="22"/>
          <w:lang w:val="sr-Cyrl-RS"/>
        </w:rPr>
      </w:pPr>
    </w:p>
    <w:p w14:paraId="5F936BF7" w14:textId="4AC4FFF2" w:rsidR="00011A3C" w:rsidRDefault="00011A3C" w:rsidP="00246590">
      <w:pPr>
        <w:pStyle w:val="NormalWeb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 w:line="270" w:lineRule="atLeast"/>
        <w:ind w:right="95"/>
        <w:jc w:val="both"/>
        <w:textAlignment w:val="baseline"/>
        <w:rPr>
          <w:bCs/>
          <w:color w:val="000000"/>
          <w:sz w:val="22"/>
          <w:lang w:val="sr-Cyrl-RS"/>
        </w:rPr>
      </w:pPr>
      <w:r w:rsidRPr="00246590">
        <w:rPr>
          <w:b/>
          <w:bCs/>
          <w:color w:val="000000"/>
          <w:sz w:val="22"/>
          <w:lang w:val="sr-Cyrl-RS"/>
        </w:rPr>
        <w:t xml:space="preserve">Годишњим извештајима о </w:t>
      </w:r>
      <w:r w:rsidR="0066501B" w:rsidRPr="00246590">
        <w:rPr>
          <w:b/>
          <w:bCs/>
          <w:color w:val="000000"/>
          <w:sz w:val="22"/>
          <w:lang w:val="sr-Cyrl-RS"/>
        </w:rPr>
        <w:t xml:space="preserve">малим и средњим </w:t>
      </w:r>
      <w:r w:rsidR="006D3E78">
        <w:rPr>
          <w:b/>
          <w:bCs/>
          <w:color w:val="000000"/>
          <w:sz w:val="22"/>
          <w:lang w:val="sr-Cyrl-RS"/>
        </w:rPr>
        <w:t>привреднм субјектима</w:t>
      </w:r>
      <w:r w:rsidR="0066501B">
        <w:rPr>
          <w:bCs/>
          <w:color w:val="000000"/>
          <w:sz w:val="22"/>
          <w:lang w:val="sr-Cyrl-RS"/>
        </w:rPr>
        <w:t xml:space="preserve"> и предузетништву </w:t>
      </w:r>
      <w:r w:rsidR="00F94035">
        <w:rPr>
          <w:bCs/>
          <w:color w:val="000000"/>
          <w:sz w:val="22"/>
          <w:lang w:val="sr-Cyrl-RS"/>
        </w:rPr>
        <w:t>Министарства привреде</w:t>
      </w:r>
      <w:r w:rsidR="0066501B">
        <w:rPr>
          <w:bCs/>
          <w:color w:val="000000"/>
          <w:sz w:val="22"/>
          <w:lang w:val="sr-Cyrl-RS"/>
        </w:rPr>
        <w:t xml:space="preserve">. Последњи извештај </w:t>
      </w:r>
      <w:r w:rsidR="00217634">
        <w:rPr>
          <w:bCs/>
          <w:color w:val="000000"/>
          <w:sz w:val="22"/>
          <w:lang w:val="sr-Cyrl-RS"/>
        </w:rPr>
        <w:t xml:space="preserve">доступан је на интернет адреси </w:t>
      </w:r>
      <w:hyperlink r:id="rId9" w:history="1">
        <w:r w:rsidR="00F94035">
          <w:rPr>
            <w:rStyle w:val="Hyperlink"/>
          </w:rPr>
          <w:t>https://privreda.gov.rs/wp-content/uploads/2019/01/Izvestaj_MSPP_2017.pdf</w:t>
        </w:r>
      </w:hyperlink>
      <w:r w:rsidR="00F94035">
        <w:rPr>
          <w:lang w:val="sr-Cyrl-RS"/>
        </w:rPr>
        <w:t xml:space="preserve"> </w:t>
      </w:r>
    </w:p>
    <w:p w14:paraId="3513A911" w14:textId="77777777" w:rsidR="0076417D" w:rsidRPr="00BB356F" w:rsidRDefault="0076417D" w:rsidP="00BB356F">
      <w:pPr>
        <w:pStyle w:val="ListParagraph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DA2FB8" w14:textId="77777777" w:rsidR="00E1359B" w:rsidRDefault="008C276C" w:rsidP="00BB356F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B356F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Приказ спроведених консултација.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3370" w:rsidRPr="00BB356F">
        <w:rPr>
          <w:rFonts w:ascii="Times New Roman" w:hAnsi="Times New Roman" w:cs="Times New Roman"/>
          <w:sz w:val="24"/>
          <w:szCs w:val="24"/>
          <w:lang w:val="sr-Cyrl-RS"/>
        </w:rPr>
        <w:t xml:space="preserve">ММСП тест не захтева свеобухватно приказивање другог корака који се тиче консултација са ММСП. </w:t>
      </w:r>
    </w:p>
    <w:p w14:paraId="084A3272" w14:textId="77777777" w:rsidR="00E1359B" w:rsidRDefault="00E1359B" w:rsidP="00E1359B">
      <w:pPr>
        <w:pStyle w:val="ListParagraph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8DFC740" w14:textId="4CED4B22" w:rsidR="005F3370" w:rsidRPr="00BB356F" w:rsidRDefault="005F3370" w:rsidP="00246590">
      <w:pPr>
        <w:pStyle w:val="ListParagraph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B356F">
        <w:rPr>
          <w:rFonts w:ascii="Times New Roman" w:hAnsi="Times New Roman" w:cs="Times New Roman"/>
          <w:sz w:val="24"/>
          <w:szCs w:val="24"/>
          <w:lang w:val="sr-Cyrl-RS"/>
        </w:rPr>
        <w:t xml:space="preserve">С обзиром да се информације о ефектима одређених решења на ММСП прикупљају кроз процес консултација, као и да су консултација важне како би се формулисале опције везане за смањење оптерећења за ММСП, потребно је кратко описати на који начин је предлагач у процес консултација укључио репрезентативне представнике </w:t>
      </w:r>
      <w:r w:rsidR="00B37146">
        <w:rPr>
          <w:rFonts w:ascii="Times New Roman" w:hAnsi="Times New Roman" w:cs="Times New Roman"/>
          <w:sz w:val="24"/>
          <w:szCs w:val="24"/>
          <w:lang w:val="sr-Cyrl-RS"/>
        </w:rPr>
        <w:t xml:space="preserve">ММСП </w:t>
      </w:r>
      <w:r w:rsidRPr="00BB356F">
        <w:rPr>
          <w:rFonts w:ascii="Times New Roman" w:hAnsi="Times New Roman" w:cs="Times New Roman"/>
          <w:sz w:val="24"/>
          <w:szCs w:val="24"/>
          <w:lang w:val="sr-Cyrl-RS"/>
        </w:rPr>
        <w:t xml:space="preserve">на које ће пропис да утиче.  Приликом избора техника консултација треба водити рачуна о адекватном укључивању ММСП. У складу са наведеним овај део анализе </w:t>
      </w:r>
      <w:r w:rsidR="00612ED8">
        <w:rPr>
          <w:rFonts w:ascii="Times New Roman" w:hAnsi="Times New Roman" w:cs="Times New Roman"/>
          <w:sz w:val="24"/>
          <w:szCs w:val="24"/>
          <w:lang w:val="sr-Cyrl-RS"/>
        </w:rPr>
        <w:t xml:space="preserve">могуће је проширити тако </w:t>
      </w:r>
      <w:r w:rsidRPr="00BB356F">
        <w:rPr>
          <w:rFonts w:ascii="Times New Roman" w:hAnsi="Times New Roman" w:cs="Times New Roman"/>
          <w:sz w:val="24"/>
          <w:szCs w:val="24"/>
          <w:lang w:val="sr-Cyrl-RS"/>
        </w:rPr>
        <w:t xml:space="preserve">да садржи </w:t>
      </w:r>
      <w:r w:rsidR="00612ED8">
        <w:rPr>
          <w:rFonts w:ascii="Times New Roman" w:hAnsi="Times New Roman" w:cs="Times New Roman"/>
          <w:sz w:val="24"/>
          <w:szCs w:val="24"/>
          <w:lang w:val="sr-Cyrl-RS"/>
        </w:rPr>
        <w:t xml:space="preserve">нешто </w:t>
      </w:r>
      <w:r w:rsidR="00612ED8" w:rsidRPr="00BB356F">
        <w:rPr>
          <w:rFonts w:ascii="Times New Roman" w:hAnsi="Times New Roman" w:cs="Times New Roman"/>
          <w:sz w:val="24"/>
          <w:szCs w:val="24"/>
          <w:lang w:val="sr-Cyrl-RS"/>
        </w:rPr>
        <w:t>детаљн</w:t>
      </w:r>
      <w:r w:rsidR="00612ED8">
        <w:rPr>
          <w:rFonts w:ascii="Times New Roman" w:hAnsi="Times New Roman" w:cs="Times New Roman"/>
          <w:sz w:val="24"/>
          <w:szCs w:val="24"/>
          <w:lang w:val="sr-Cyrl-RS"/>
        </w:rPr>
        <w:t>ије</w:t>
      </w:r>
      <w:r w:rsidR="00612ED8" w:rsidRPr="00BB3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B356F">
        <w:rPr>
          <w:rFonts w:ascii="Times New Roman" w:hAnsi="Times New Roman" w:cs="Times New Roman"/>
          <w:sz w:val="24"/>
          <w:szCs w:val="24"/>
          <w:lang w:val="sr-Cyrl-RS"/>
        </w:rPr>
        <w:t>информације о консултацијама са заинтересованим ММСП, односно о критеријумима на основу којих су одабрани учесници консултација, броју учесника и примењеним техникама консултација.</w:t>
      </w:r>
      <w:r w:rsidR="00246811">
        <w:rPr>
          <w:rFonts w:ascii="Times New Roman" w:hAnsi="Times New Roman" w:cs="Times New Roman"/>
          <w:sz w:val="24"/>
          <w:szCs w:val="24"/>
          <w:lang w:val="sr-Cyrl-RS"/>
        </w:rPr>
        <w:t xml:space="preserve"> Овај део обрасца, превасходно служи као подсетник о потреби спровођења</w:t>
      </w:r>
      <w:r w:rsidR="004465D7">
        <w:rPr>
          <w:rFonts w:ascii="Times New Roman" w:hAnsi="Times New Roman" w:cs="Times New Roman"/>
          <w:sz w:val="24"/>
          <w:szCs w:val="24"/>
          <w:lang w:val="sr-Cyrl-RS"/>
        </w:rPr>
        <w:t>, односно доброј пракси у погледу консултација.</w:t>
      </w:r>
    </w:p>
    <w:p w14:paraId="407E506A" w14:textId="77777777" w:rsidR="005F3370" w:rsidRPr="0052600A" w:rsidRDefault="005F3370" w:rsidP="00BB356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B16DFB" w14:textId="7B287B48" w:rsidR="005D5ED7" w:rsidRDefault="00741F53" w:rsidP="00246590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600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Анализа опција и мера којима се умањује негативан утицај на </w:t>
      </w:r>
      <w:r w:rsidR="00B8607C" w:rsidRPr="0052600A">
        <w:rPr>
          <w:rFonts w:ascii="Times New Roman" w:hAnsi="Times New Roman" w:cs="Times New Roman"/>
          <w:b/>
          <w:sz w:val="24"/>
          <w:szCs w:val="24"/>
          <w:lang w:val="sr-Cyrl-RS"/>
        </w:rPr>
        <w:t>М</w:t>
      </w:r>
      <w:r w:rsidRPr="0052600A">
        <w:rPr>
          <w:rFonts w:ascii="Times New Roman" w:hAnsi="Times New Roman" w:cs="Times New Roman"/>
          <w:b/>
          <w:sz w:val="24"/>
          <w:szCs w:val="24"/>
          <w:lang w:val="sr-Cyrl-RS"/>
        </w:rPr>
        <w:t>МСП</w:t>
      </w:r>
      <w:r w:rsidR="00B8607C" w:rsidRPr="0052600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D5ED7">
        <w:rPr>
          <w:rFonts w:ascii="Times New Roman" w:hAnsi="Times New Roman" w:cs="Times New Roman"/>
          <w:sz w:val="24"/>
          <w:szCs w:val="24"/>
          <w:lang w:val="sr-Cyrl-RS"/>
        </w:rPr>
        <w:t xml:space="preserve">Овај </w:t>
      </w:r>
      <w:r w:rsidR="003D01FD">
        <w:rPr>
          <w:rFonts w:ascii="Times New Roman" w:hAnsi="Times New Roman" w:cs="Times New Roman"/>
          <w:sz w:val="24"/>
          <w:szCs w:val="24"/>
          <w:lang w:val="sr-Cyrl-RS"/>
        </w:rPr>
        <w:t xml:space="preserve">део представља контролну листу која предлагачу треба да помогне у сагледавању </w:t>
      </w:r>
      <w:r w:rsidR="00A1570A">
        <w:rPr>
          <w:rFonts w:ascii="Times New Roman" w:hAnsi="Times New Roman" w:cs="Times New Roman"/>
          <w:sz w:val="24"/>
          <w:szCs w:val="24"/>
          <w:lang w:val="sr-Cyrl-RS"/>
        </w:rPr>
        <w:t xml:space="preserve">могућих изузимања, поједностављења или </w:t>
      </w:r>
      <w:r w:rsidRPr="0052600A">
        <w:rPr>
          <w:rFonts w:ascii="Times New Roman" w:hAnsi="Times New Roman" w:cs="Times New Roman"/>
          <w:sz w:val="24"/>
          <w:szCs w:val="24"/>
          <w:lang w:val="sr-Cyrl-RS"/>
        </w:rPr>
        <w:t>увођења</w:t>
      </w:r>
      <w:r w:rsidR="00505732" w:rsidRPr="00526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4660" w:rsidRPr="0052600A">
        <w:rPr>
          <w:rFonts w:ascii="Times New Roman" w:hAnsi="Times New Roman" w:cs="Times New Roman"/>
          <w:sz w:val="24"/>
          <w:szCs w:val="24"/>
          <w:lang w:val="sr-Cyrl-RS"/>
        </w:rPr>
        <w:t xml:space="preserve">других </w:t>
      </w:r>
      <w:r w:rsidRPr="0052600A">
        <w:rPr>
          <w:rFonts w:ascii="Times New Roman" w:hAnsi="Times New Roman" w:cs="Times New Roman"/>
          <w:sz w:val="24"/>
          <w:szCs w:val="24"/>
          <w:lang w:val="sr-Cyrl-RS"/>
        </w:rPr>
        <w:t>олакшица (финансијских или</w:t>
      </w:r>
      <w:r w:rsidR="00DD4660" w:rsidRPr="00526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17">
        <w:rPr>
          <w:rFonts w:ascii="Times New Roman" w:hAnsi="Times New Roman" w:cs="Times New Roman"/>
          <w:sz w:val="24"/>
          <w:szCs w:val="24"/>
          <w:lang w:val="sr-Cyrl-RS"/>
        </w:rPr>
        <w:t>административних</w:t>
      </w:r>
      <w:r w:rsidRPr="0052600A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505732" w:rsidRPr="0052600A">
        <w:rPr>
          <w:rFonts w:ascii="Times New Roman" w:hAnsi="Times New Roman" w:cs="Times New Roman"/>
          <w:sz w:val="24"/>
          <w:szCs w:val="24"/>
          <w:lang w:val="sr-Cyrl-RS"/>
        </w:rPr>
        <w:t xml:space="preserve">усмерених </w:t>
      </w:r>
      <w:r w:rsidRPr="0052600A">
        <w:rPr>
          <w:rFonts w:ascii="Times New Roman" w:hAnsi="Times New Roman" w:cs="Times New Roman"/>
          <w:sz w:val="24"/>
          <w:szCs w:val="24"/>
          <w:lang w:val="sr-Cyrl-RS"/>
        </w:rPr>
        <w:t>ка М</w:t>
      </w:r>
      <w:r w:rsidR="00B8607C" w:rsidRPr="0052600A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52600A">
        <w:rPr>
          <w:rFonts w:ascii="Times New Roman" w:hAnsi="Times New Roman" w:cs="Times New Roman"/>
          <w:sz w:val="24"/>
          <w:szCs w:val="24"/>
          <w:lang w:val="sr-Cyrl-RS"/>
        </w:rPr>
        <w:t xml:space="preserve">СП тј. појединим </w:t>
      </w:r>
      <w:r w:rsidR="00505732" w:rsidRPr="0052600A">
        <w:rPr>
          <w:rFonts w:ascii="Times New Roman" w:hAnsi="Times New Roman" w:cs="Times New Roman"/>
          <w:sz w:val="24"/>
          <w:szCs w:val="24"/>
          <w:lang w:val="sr-Cyrl-RS"/>
        </w:rPr>
        <w:t>категоријама ММСП</w:t>
      </w:r>
      <w:r w:rsidRPr="0052600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B21FF38" w14:textId="566C91BF" w:rsidR="00156D90" w:rsidRDefault="00156D90" w:rsidP="00A1570A">
      <w:pPr>
        <w:pStyle w:val="ListParagraph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noProof/>
          <w:sz w:val="24"/>
          <w:szCs w:val="24"/>
          <w:vertAlign w:val="superscript"/>
          <w:lang w:val="sr-Cyrl-RS"/>
        </w:rPr>
      </w:pPr>
    </w:p>
    <w:p w14:paraId="1E2034EA" w14:textId="12F83636" w:rsidR="00353A0D" w:rsidRPr="00246590" w:rsidRDefault="00353A0D" w:rsidP="00A1570A">
      <w:pPr>
        <w:pStyle w:val="ListParagraph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6590">
        <w:rPr>
          <w:rFonts w:ascii="Times New Roman" w:hAnsi="Times New Roman" w:cs="Times New Roman"/>
          <w:sz w:val="24"/>
          <w:szCs w:val="24"/>
          <w:lang w:val="sr-Cyrl-RS"/>
        </w:rPr>
        <w:t>Од предлагача се захтева да сагледа могућност</w:t>
      </w:r>
      <w:r w:rsidR="00794E0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4E6CD6D8" w14:textId="57446FC3" w:rsidR="00156D90" w:rsidRDefault="00BE73B3" w:rsidP="00353A0D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6590">
        <w:rPr>
          <w:rFonts w:ascii="Times New Roman" w:hAnsi="Times New Roman" w:cs="Times New Roman"/>
          <w:sz w:val="24"/>
          <w:szCs w:val="24"/>
          <w:lang w:val="sr-Cyrl-RS"/>
        </w:rPr>
        <w:t>Изузимање свих ММСП или одређених категорија ММСП од појединих прописаних обавеза ?</w:t>
      </w:r>
      <w:r w:rsidR="00353A0D">
        <w:rPr>
          <w:rFonts w:ascii="Times New Roman" w:hAnsi="Times New Roman" w:cs="Times New Roman"/>
          <w:sz w:val="24"/>
          <w:szCs w:val="24"/>
          <w:lang w:val="sr-Cyrl-RS"/>
        </w:rPr>
        <w:t xml:space="preserve"> (питање бр.8)</w:t>
      </w:r>
    </w:p>
    <w:p w14:paraId="778063E1" w14:textId="1ADF5653" w:rsidR="00794E0A" w:rsidRPr="00353A0D" w:rsidRDefault="00862037" w:rsidP="00246590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Олакшица које је могуће користити (питање бр. 9). Образац садржи контролну листу потенцијалних олакшица</w:t>
      </w:r>
    </w:p>
    <w:p w14:paraId="3CCA0D6E" w14:textId="77777777" w:rsidR="005D5ED7" w:rsidRPr="00246590" w:rsidRDefault="005D5ED7" w:rsidP="00246590">
      <w:pPr>
        <w:pStyle w:val="ListParagraph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noProof/>
          <w:sz w:val="24"/>
          <w:szCs w:val="24"/>
          <w:vertAlign w:val="superscript"/>
          <w:lang w:val="sr-Cyrl-RS"/>
        </w:rPr>
      </w:pPr>
    </w:p>
    <w:p w14:paraId="78CF4E5A" w14:textId="044AE779" w:rsidR="00B51A68" w:rsidRDefault="00741F53" w:rsidP="00246590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noProof/>
          <w:sz w:val="24"/>
          <w:szCs w:val="24"/>
          <w:vertAlign w:val="superscript"/>
          <w:lang w:val="sr-Cyrl-RS"/>
        </w:rPr>
      </w:pPr>
      <w:r w:rsidRPr="0052600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Утврђивање величине утицаја на </w:t>
      </w:r>
      <w:r w:rsidR="00B8607C" w:rsidRPr="0052600A">
        <w:rPr>
          <w:rFonts w:ascii="Times New Roman" w:hAnsi="Times New Roman" w:cs="Times New Roman"/>
          <w:b/>
          <w:sz w:val="24"/>
          <w:szCs w:val="24"/>
          <w:lang w:val="sr-Cyrl-RS"/>
        </w:rPr>
        <w:t>М</w:t>
      </w:r>
      <w:r w:rsidRPr="0052600A">
        <w:rPr>
          <w:rFonts w:ascii="Times New Roman" w:hAnsi="Times New Roman" w:cs="Times New Roman"/>
          <w:b/>
          <w:sz w:val="24"/>
          <w:szCs w:val="24"/>
          <w:lang w:val="sr-Cyrl-RS"/>
        </w:rPr>
        <w:t>МСП</w:t>
      </w:r>
      <w:r w:rsidR="00B8607C" w:rsidRPr="0052600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B8607C" w:rsidRPr="0052600A">
        <w:rPr>
          <w:rFonts w:ascii="Times New Roman" w:hAnsi="Times New Roman" w:cs="Times New Roman"/>
          <w:sz w:val="24"/>
          <w:szCs w:val="24"/>
          <w:lang w:val="sr-Cyrl-RS"/>
        </w:rPr>
        <w:t>У овом делу потребно је</w:t>
      </w:r>
      <w:r w:rsidRPr="0052600A">
        <w:rPr>
          <w:rFonts w:ascii="Times New Roman" w:hAnsi="Times New Roman" w:cs="Times New Roman"/>
          <w:sz w:val="24"/>
          <w:szCs w:val="24"/>
          <w:lang w:val="sr-Cyrl-RS"/>
        </w:rPr>
        <w:t xml:space="preserve"> квантификовати утицај предложен</w:t>
      </w:r>
      <w:r w:rsidR="00B8607C" w:rsidRPr="0052600A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52600A">
        <w:rPr>
          <w:rFonts w:ascii="Times New Roman" w:hAnsi="Times New Roman" w:cs="Times New Roman"/>
          <w:sz w:val="24"/>
          <w:szCs w:val="24"/>
          <w:lang w:val="sr-Cyrl-RS"/>
        </w:rPr>
        <w:t xml:space="preserve"> мер</w:t>
      </w:r>
      <w:r w:rsidR="00B8607C" w:rsidRPr="0052600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26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607C" w:rsidRPr="0052600A">
        <w:rPr>
          <w:rFonts w:ascii="Times New Roman" w:hAnsi="Times New Roman" w:cs="Times New Roman"/>
          <w:sz w:val="24"/>
          <w:szCs w:val="24"/>
          <w:lang w:val="sr-Cyrl-RS"/>
        </w:rPr>
        <w:t>ММСП</w:t>
      </w:r>
      <w:r w:rsidR="00B51A68">
        <w:rPr>
          <w:rFonts w:ascii="Times New Roman" w:hAnsi="Times New Roman" w:cs="Times New Roman"/>
          <w:sz w:val="24"/>
          <w:szCs w:val="24"/>
          <w:lang w:val="sr-Cyrl-RS"/>
        </w:rPr>
        <w:t>, односно идентификовати и проценити трошкове које ће сносити ММСП у склопу прилагођавања новим решењима прописа</w:t>
      </w:r>
      <w:r w:rsidRPr="003335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51A68">
        <w:rPr>
          <w:rFonts w:ascii="Times New Roman" w:hAnsi="Times New Roman" w:cs="Times New Roman"/>
          <w:sz w:val="24"/>
          <w:szCs w:val="24"/>
          <w:lang w:val="sr-Cyrl-RS"/>
        </w:rPr>
        <w:t>Трошкови су подељени у три групе:</w:t>
      </w:r>
    </w:p>
    <w:p w14:paraId="4A327354" w14:textId="10C303ED" w:rsidR="00B51A68" w:rsidRPr="0033354E" w:rsidRDefault="00B51A68" w:rsidP="0033354E">
      <w:pPr>
        <w:pStyle w:val="ListParagraph"/>
        <w:numPr>
          <w:ilvl w:val="1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noProof/>
          <w:sz w:val="24"/>
          <w:szCs w:val="24"/>
          <w:vertAlign w:val="superscript"/>
          <w:lang w:val="sr-Cyrl-RS"/>
        </w:rPr>
      </w:pPr>
      <w:r w:rsidRPr="0033354E">
        <w:rPr>
          <w:rFonts w:ascii="Times New Roman" w:hAnsi="Times New Roman" w:cs="Times New Roman"/>
          <w:sz w:val="24"/>
          <w:szCs w:val="24"/>
          <w:lang w:val="sr-Cyrl-RS"/>
        </w:rPr>
        <w:t>административне трошкове (трошкови које привредни субјекти сносе услед прописане обавезе спровођења неког административног поступка или захтева)</w:t>
      </w:r>
      <w:r w:rsidR="003B350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063D382" w14:textId="247A552B" w:rsidR="00B51A68" w:rsidRPr="0033354E" w:rsidRDefault="00B51A68" w:rsidP="0033354E">
      <w:pPr>
        <w:pStyle w:val="ListParagraph"/>
        <w:numPr>
          <w:ilvl w:val="1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noProof/>
          <w:sz w:val="24"/>
          <w:szCs w:val="24"/>
          <w:vertAlign w:val="superscript"/>
          <w:lang w:val="sr-Cyrl-RS"/>
        </w:rPr>
      </w:pPr>
      <w:r w:rsidRPr="0033354E">
        <w:rPr>
          <w:rFonts w:ascii="Times New Roman" w:hAnsi="Times New Roman" w:cs="Times New Roman"/>
          <w:noProof/>
          <w:sz w:val="24"/>
          <w:szCs w:val="24"/>
          <w:lang w:val="sr-Cyrl-RS"/>
        </w:rPr>
        <w:t>финансијске трошкове (трошкови настали услед увођења или повећања такси, накнада, пореза и сл.)</w:t>
      </w:r>
      <w:r w:rsidR="003B3500"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14:paraId="44E8E32E" w14:textId="77777777" w:rsidR="005C5BB7" w:rsidRDefault="00B51A68" w:rsidP="005C5BB7">
      <w:pPr>
        <w:pStyle w:val="ListParagraph"/>
        <w:numPr>
          <w:ilvl w:val="1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33354E">
        <w:rPr>
          <w:rFonts w:ascii="Times New Roman" w:hAnsi="Times New Roman" w:cs="Times New Roman"/>
          <w:noProof/>
          <w:sz w:val="24"/>
          <w:szCs w:val="24"/>
          <w:lang w:val="sr-Cyrl-RS"/>
        </w:rPr>
        <w:t>структурни трошкови (измене производног процеса или производа како би се усагласили са прописаним захтевом)</w:t>
      </w:r>
      <w:r w:rsidR="003B3500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14:paraId="4FEC0CE9" w14:textId="5E2C0AC0" w:rsidR="005C5BB7" w:rsidRPr="00F02DDC" w:rsidRDefault="005C5BB7" w:rsidP="00F02DDC">
      <w:pPr>
        <w:spacing w:before="100" w:beforeAutospacing="1" w:after="100" w:afterAutospacing="1" w:line="276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F02DDC">
        <w:rPr>
          <w:rFonts w:ascii="Times New Roman" w:hAnsi="Times New Roman" w:cs="Times New Roman"/>
          <w:sz w:val="24"/>
          <w:szCs w:val="24"/>
          <w:lang w:val="sr-Cyrl-RS"/>
        </w:rPr>
        <w:t xml:space="preserve">Квантификација трошкова представља детаљну анализу ефеката на ММСП у складу са одредбама Уредбе о анализи ефеката и њој се обавезно приступа при </w:t>
      </w:r>
      <w:r w:rsidR="002A347E" w:rsidRPr="002A347E">
        <w:rPr>
          <w:rFonts w:ascii="Times New Roman" w:hAnsi="Times New Roman" w:cs="Times New Roman"/>
          <w:sz w:val="24"/>
          <w:szCs w:val="24"/>
          <w:lang w:val="sr-Cyrl-RS"/>
        </w:rPr>
        <w:t>прописив</w:t>
      </w:r>
      <w:r w:rsidRPr="00F02DDC">
        <w:rPr>
          <w:rFonts w:ascii="Times New Roman" w:hAnsi="Times New Roman" w:cs="Times New Roman"/>
          <w:sz w:val="24"/>
          <w:szCs w:val="24"/>
          <w:lang w:val="sr-Cyrl-RS"/>
        </w:rPr>
        <w:t xml:space="preserve">ању нових или измени постојећих администативних </w:t>
      </w:r>
      <w:r w:rsidR="002A347E">
        <w:rPr>
          <w:rFonts w:ascii="Times New Roman" w:hAnsi="Times New Roman" w:cs="Times New Roman"/>
          <w:sz w:val="24"/>
          <w:szCs w:val="24"/>
          <w:lang w:val="sr-Cyrl-RS"/>
        </w:rPr>
        <w:t>поступака</w:t>
      </w:r>
      <w:r w:rsidRPr="00F02DDC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F02DD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административних захтева или при прописивању нових обавеза за ММСП које ће изазвати повећање финансијских или структурних трошкова.</w:t>
      </w:r>
    </w:p>
    <w:p w14:paraId="694D223C" w14:textId="6658CED5" w:rsidR="00FC7259" w:rsidRDefault="007D677B" w:rsidP="00FC7259">
      <w:pPr>
        <w:spacing w:before="100" w:beforeAutospacing="1" w:after="100" w:afterAutospacing="1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354E">
        <w:rPr>
          <w:rFonts w:ascii="Times New Roman" w:hAnsi="Times New Roman" w:cs="Times New Roman"/>
          <w:sz w:val="24"/>
          <w:szCs w:val="24"/>
          <w:lang w:val="sr-Cyrl-RS"/>
        </w:rPr>
        <w:t xml:space="preserve">За рачунање административног трошка </w:t>
      </w:r>
      <w:r w:rsidR="004A19E3">
        <w:rPr>
          <w:rFonts w:ascii="Times New Roman" w:hAnsi="Times New Roman" w:cs="Times New Roman"/>
          <w:sz w:val="24"/>
          <w:szCs w:val="24"/>
          <w:lang w:val="sr-Cyrl-RS"/>
        </w:rPr>
        <w:t>користи се</w:t>
      </w:r>
      <w:r w:rsidRPr="0033354E">
        <w:rPr>
          <w:rFonts w:ascii="Times New Roman" w:hAnsi="Times New Roman" w:cs="Times New Roman"/>
          <w:sz w:val="24"/>
          <w:szCs w:val="24"/>
          <w:lang w:val="sr-Cyrl-RS"/>
        </w:rPr>
        <w:t xml:space="preserve"> модел страндардног трошка.</w:t>
      </w:r>
      <w:r w:rsidRPr="007D67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4660" w:rsidRPr="0033354E">
        <w:rPr>
          <w:rFonts w:ascii="Times New Roman" w:hAnsi="Times New Roman" w:cs="Times New Roman"/>
          <w:sz w:val="24"/>
          <w:szCs w:val="24"/>
          <w:lang w:val="sr-Cyrl-RS"/>
        </w:rPr>
        <w:t>Модел стандардног трошка (МСТ) представља једноставан начин мерења административног оптерећења наметнутог прописима</w:t>
      </w:r>
      <w:r w:rsidR="00230E3C">
        <w:rPr>
          <w:rFonts w:ascii="Times New Roman" w:hAnsi="Times New Roman" w:cs="Times New Roman"/>
          <w:sz w:val="24"/>
          <w:szCs w:val="24"/>
          <w:lang w:val="sr-Cyrl-RS"/>
        </w:rPr>
        <w:t xml:space="preserve"> ММСП</w:t>
      </w:r>
      <w:r w:rsidR="00DD4660" w:rsidRPr="0033354E">
        <w:rPr>
          <w:rFonts w:ascii="Times New Roman" w:hAnsi="Times New Roman" w:cs="Times New Roman"/>
          <w:sz w:val="24"/>
          <w:szCs w:val="24"/>
          <w:lang w:val="sr-Cyrl-RS"/>
        </w:rPr>
        <w:t>. МСТ различите административне поступке и захтеве</w:t>
      </w:r>
      <w:r w:rsidR="0052600A" w:rsidRPr="0033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4660" w:rsidRPr="0033354E">
        <w:rPr>
          <w:rFonts w:ascii="Times New Roman" w:hAnsi="Times New Roman" w:cs="Times New Roman"/>
          <w:sz w:val="24"/>
          <w:szCs w:val="24"/>
          <w:lang w:val="sr-Cyrl-RS"/>
        </w:rPr>
        <w:t xml:space="preserve">разлаже на </w:t>
      </w:r>
      <w:r w:rsidR="00230E3C">
        <w:rPr>
          <w:rFonts w:ascii="Times New Roman" w:hAnsi="Times New Roman" w:cs="Times New Roman"/>
          <w:sz w:val="24"/>
          <w:szCs w:val="24"/>
          <w:lang w:val="sr-Cyrl-RS"/>
        </w:rPr>
        <w:t>кораке</w:t>
      </w:r>
      <w:r w:rsidR="00DD4660" w:rsidRPr="0033354E">
        <w:rPr>
          <w:rFonts w:ascii="Times New Roman" w:hAnsi="Times New Roman" w:cs="Times New Roman"/>
          <w:sz w:val="24"/>
          <w:szCs w:val="24"/>
          <w:lang w:val="sr-Cyrl-RS"/>
        </w:rPr>
        <w:t xml:space="preserve"> и неопходне активности које ММСП треба да обаве, а затим на основу података о времену потребном да се ти захтеви испуне, као и података о трошковима које они стварају мери административне трошкове, односно непотребно административно оптерећење.</w:t>
      </w:r>
      <w:r w:rsidR="0052600A" w:rsidRPr="0033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0E3C">
        <w:rPr>
          <w:rFonts w:ascii="Times New Roman" w:hAnsi="Times New Roman" w:cs="Times New Roman"/>
          <w:sz w:val="24"/>
          <w:szCs w:val="24"/>
          <w:lang w:val="sr-Cyrl-RS"/>
        </w:rPr>
        <w:t>Примена МСТ врши се путем калкулатора</w:t>
      </w:r>
      <w:r w:rsidR="00636B02">
        <w:rPr>
          <w:rFonts w:ascii="Times New Roman" w:hAnsi="Times New Roman" w:cs="Times New Roman"/>
          <w:sz w:val="24"/>
          <w:szCs w:val="24"/>
          <w:lang w:val="sr-Cyrl-RS"/>
        </w:rPr>
        <w:t xml:space="preserve"> – алатке која је доступна на адреси</w:t>
      </w:r>
      <w:r w:rsidR="00FC725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hyperlink r:id="rId10" w:history="1">
        <w:r w:rsidR="00246590" w:rsidRPr="0033739C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http://rsjp.gov.rs/kalkulator/</w:t>
        </w:r>
      </w:hyperlink>
      <w:r w:rsidR="00FC7259" w:rsidRPr="00246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08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C7259" w:rsidRPr="00817A92">
        <w:rPr>
          <w:rFonts w:ascii="Times New Roman" w:hAnsi="Times New Roman" w:cs="Times New Roman"/>
          <w:sz w:val="24"/>
          <w:szCs w:val="24"/>
          <w:lang w:val="sr-Cyrl-RS"/>
        </w:rPr>
        <w:t>Детаљна примена МСТ приказана је у</w:t>
      </w:r>
      <w:r w:rsidR="00FC72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Корисничком упутству за коришћење калкулатора за обрачун адмнистративних трошкова</w:t>
      </w:r>
      <w:r w:rsidR="00C13082" w:rsidRPr="00246590">
        <w:rPr>
          <w:rFonts w:ascii="Times New Roman" w:hAnsi="Times New Roman" w:cs="Times New Roman"/>
          <w:sz w:val="24"/>
          <w:szCs w:val="24"/>
          <w:lang w:val="sr-Cyrl-RS"/>
        </w:rPr>
        <w:t xml:space="preserve"> која је доступна на истој адреси.</w:t>
      </w:r>
    </w:p>
    <w:p w14:paraId="702BDEB1" w14:textId="2A223462" w:rsidR="0052600A" w:rsidRDefault="00DD4660" w:rsidP="00246590">
      <w:pPr>
        <w:spacing w:before="100" w:beforeAutospacing="1" w:after="100" w:afterAutospacing="1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354E">
        <w:rPr>
          <w:rFonts w:ascii="Times New Roman" w:hAnsi="Times New Roman" w:cs="Times New Roman"/>
          <w:sz w:val="24"/>
          <w:szCs w:val="24"/>
          <w:lang w:val="sr-Cyrl-RS"/>
        </w:rPr>
        <w:t xml:space="preserve">Примена МСТ подразумева анализу прописа, односно </w:t>
      </w:r>
      <w:r w:rsidR="00C13082">
        <w:rPr>
          <w:rFonts w:ascii="Times New Roman" w:hAnsi="Times New Roman" w:cs="Times New Roman"/>
          <w:sz w:val="24"/>
          <w:szCs w:val="24"/>
          <w:lang w:val="sr-Cyrl-RS"/>
        </w:rPr>
        <w:t xml:space="preserve">административних </w:t>
      </w:r>
      <w:r w:rsidRPr="0033354E">
        <w:rPr>
          <w:rFonts w:ascii="Times New Roman" w:hAnsi="Times New Roman" w:cs="Times New Roman"/>
          <w:sz w:val="24"/>
          <w:szCs w:val="24"/>
          <w:lang w:val="sr-Cyrl-RS"/>
        </w:rPr>
        <w:t xml:space="preserve">поступака </w:t>
      </w:r>
      <w:r w:rsidR="00C13082">
        <w:rPr>
          <w:rFonts w:ascii="Times New Roman" w:hAnsi="Times New Roman" w:cs="Times New Roman"/>
          <w:sz w:val="24"/>
          <w:szCs w:val="24"/>
          <w:lang w:val="sr-Cyrl-RS"/>
        </w:rPr>
        <w:t xml:space="preserve">(нпр. добијања </w:t>
      </w:r>
      <w:r w:rsidR="00F41F4E">
        <w:rPr>
          <w:rFonts w:ascii="Times New Roman" w:hAnsi="Times New Roman" w:cs="Times New Roman"/>
          <w:sz w:val="24"/>
          <w:szCs w:val="24"/>
          <w:lang w:val="sr-Cyrl-RS"/>
        </w:rPr>
        <w:t xml:space="preserve">дозволе, регистрације, и сл.) </w:t>
      </w:r>
      <w:r w:rsidRPr="0033354E">
        <w:rPr>
          <w:rFonts w:ascii="Times New Roman" w:hAnsi="Times New Roman" w:cs="Times New Roman"/>
          <w:sz w:val="24"/>
          <w:szCs w:val="24"/>
          <w:lang w:val="sr-Cyrl-RS"/>
        </w:rPr>
        <w:t xml:space="preserve">и захтева </w:t>
      </w:r>
      <w:r w:rsidR="00F41F4E">
        <w:rPr>
          <w:rFonts w:ascii="Times New Roman" w:hAnsi="Times New Roman" w:cs="Times New Roman"/>
          <w:sz w:val="24"/>
          <w:szCs w:val="24"/>
          <w:lang w:val="sr-Cyrl-RS"/>
        </w:rPr>
        <w:t>(нпр. чување података</w:t>
      </w:r>
      <w:r w:rsidR="00864191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0033354E">
        <w:rPr>
          <w:rFonts w:ascii="Times New Roman" w:hAnsi="Times New Roman" w:cs="Times New Roman"/>
          <w:sz w:val="24"/>
          <w:szCs w:val="24"/>
          <w:lang w:val="sr-Cyrl-RS"/>
        </w:rPr>
        <w:t xml:space="preserve">које ти прописи садрже. </w:t>
      </w:r>
      <w:r w:rsidR="00864191">
        <w:rPr>
          <w:rFonts w:ascii="Times New Roman" w:hAnsi="Times New Roman" w:cs="Times New Roman"/>
          <w:sz w:val="24"/>
          <w:szCs w:val="24"/>
          <w:lang w:val="sr-Cyrl-RS"/>
        </w:rPr>
        <w:t xml:space="preserve">Тиме </w:t>
      </w:r>
      <w:r w:rsidR="00505732" w:rsidRPr="0033354E">
        <w:rPr>
          <w:rFonts w:ascii="Times New Roman" w:hAnsi="Times New Roman" w:cs="Times New Roman"/>
          <w:noProof/>
          <w:sz w:val="24"/>
          <w:szCs w:val="24"/>
          <w:lang w:val="sr-Cyrl-RS"/>
        </w:rPr>
        <w:t>МСТ омогућава да се јасно изразе укупни админстративни трошкови које стварају постојећи прописи регулатива и указује на могућа поједностављења поступака и уклањање непотребних административних захтева.</w:t>
      </w:r>
    </w:p>
    <w:p w14:paraId="692DD6DB" w14:textId="62D8B08B" w:rsidR="0052600A" w:rsidRPr="0033354E" w:rsidRDefault="0052600A" w:rsidP="00246590">
      <w:pPr>
        <w:pStyle w:val="ListParagraph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354E">
        <w:rPr>
          <w:rFonts w:ascii="Times New Roman" w:hAnsi="Times New Roman" w:cs="Times New Roman"/>
          <w:sz w:val="24"/>
          <w:szCs w:val="24"/>
          <w:lang w:val="sr-Cyrl-RS"/>
        </w:rPr>
        <w:t>Уколико је могуће ММСП тест треба да наведе и друге финансијске трошкове настале услед увођења нових пореских оптерећења и сл., као и структурне трошкове примене прописа, у случају да ММСП сносе трошкове</w:t>
      </w:r>
      <w:r w:rsidRPr="0052600A">
        <w:rPr>
          <w:rFonts w:ascii="Times New Roman" w:hAnsi="Times New Roman" w:cs="Times New Roman"/>
          <w:sz w:val="24"/>
          <w:szCs w:val="24"/>
          <w:lang w:val="sr-Cyrl-RS"/>
        </w:rPr>
        <w:t xml:space="preserve"> прилагођавања свог пословања услед специфичних захтева наметнутих прописом. Ти захтеви се односе се на производни процес или на саме производе и услуге </w:t>
      </w:r>
      <w:r w:rsidR="006D3E78" w:rsidRPr="006D3E78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привредних субјеката </w:t>
      </w:r>
      <w:bookmarkStart w:id="0" w:name="_GoBack"/>
      <w:bookmarkEnd w:id="0"/>
      <w:r w:rsidRPr="0052600A">
        <w:rPr>
          <w:rFonts w:ascii="Times New Roman" w:hAnsi="Times New Roman" w:cs="Times New Roman"/>
          <w:sz w:val="24"/>
          <w:szCs w:val="24"/>
          <w:lang w:val="sr-Cyrl-RS"/>
        </w:rPr>
        <w:t xml:space="preserve">(нпр. трошкови који настају при испуњавању обавезе уграђивања филтера ради смањења загађења, поштовања одређених стандарда производње, запошљавања радника са специфичним знањима, прилагођавања радног места лицима са инвалидитетом, и сл.). </w:t>
      </w:r>
    </w:p>
    <w:p w14:paraId="501E3072" w14:textId="7E071133" w:rsidR="00505732" w:rsidRPr="0052600A" w:rsidRDefault="00505732" w:rsidP="00246590">
      <w:pPr>
        <w:pStyle w:val="ListParagraph"/>
        <w:spacing w:before="100" w:beforeAutospacing="1" w:after="100" w:afterAutospacing="1" w:line="276" w:lineRule="auto"/>
        <w:ind w:left="1440"/>
        <w:jc w:val="both"/>
        <w:rPr>
          <w:rFonts w:ascii="Times New Roman" w:hAnsi="Times New Roman" w:cs="Times New Roman"/>
          <w:noProof/>
          <w:sz w:val="24"/>
          <w:szCs w:val="24"/>
          <w:vertAlign w:val="superscript"/>
          <w:lang w:val="sr-Cyrl-RS"/>
        </w:rPr>
      </w:pPr>
      <w:r w:rsidRPr="0052600A">
        <w:rPr>
          <w:rStyle w:val="FootnoteReference"/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14:paraId="692E763F" w14:textId="77777777" w:rsidR="00505732" w:rsidRPr="0033354E" w:rsidRDefault="00505732" w:rsidP="0033354E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505732" w:rsidRPr="00333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F4A94" w14:textId="77777777" w:rsidR="0052308A" w:rsidRDefault="0052308A" w:rsidP="001E4B97">
      <w:pPr>
        <w:spacing w:after="0" w:line="240" w:lineRule="auto"/>
      </w:pPr>
      <w:r>
        <w:separator/>
      </w:r>
    </w:p>
  </w:endnote>
  <w:endnote w:type="continuationSeparator" w:id="0">
    <w:p w14:paraId="458CA8A6" w14:textId="77777777" w:rsidR="0052308A" w:rsidRDefault="0052308A" w:rsidP="001E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06A62" w14:textId="77777777" w:rsidR="0052308A" w:rsidRDefault="0052308A" w:rsidP="001E4B97">
      <w:pPr>
        <w:spacing w:after="0" w:line="240" w:lineRule="auto"/>
      </w:pPr>
      <w:r>
        <w:separator/>
      </w:r>
    </w:p>
  </w:footnote>
  <w:footnote w:type="continuationSeparator" w:id="0">
    <w:p w14:paraId="271A2126" w14:textId="77777777" w:rsidR="0052308A" w:rsidRDefault="0052308A" w:rsidP="001E4B97">
      <w:pPr>
        <w:spacing w:after="0" w:line="240" w:lineRule="auto"/>
      </w:pPr>
      <w:r>
        <w:continuationSeparator/>
      </w:r>
    </w:p>
  </w:footnote>
  <w:footnote w:id="1">
    <w:p w14:paraId="4570BE3E" w14:textId="4D265CA3" w:rsidR="00A9280A" w:rsidRPr="0033354E" w:rsidRDefault="00A9280A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6A1BDA" w:rsidRPr="005802BE">
          <w:rPr>
            <w:rStyle w:val="Hyperlink"/>
          </w:rPr>
          <w:t>https://ec.europa.eu/info/sites/info/files/file_import/better-regulation-toolbox-22_en_0.pdf</w:t>
        </w:r>
      </w:hyperlink>
      <w:r w:rsidR="006A1BDA">
        <w:rPr>
          <w:lang w:val="sr-Cyrl-R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0A2B"/>
    <w:multiLevelType w:val="hybridMultilevel"/>
    <w:tmpl w:val="1AFED9C8"/>
    <w:lvl w:ilvl="0" w:tplc="738C4E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E73EA5"/>
    <w:multiLevelType w:val="hybridMultilevel"/>
    <w:tmpl w:val="AD1458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05306"/>
    <w:multiLevelType w:val="hybridMultilevel"/>
    <w:tmpl w:val="A7C0D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D4923"/>
    <w:multiLevelType w:val="hybridMultilevel"/>
    <w:tmpl w:val="77347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6A1B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94C1A"/>
    <w:multiLevelType w:val="hybridMultilevel"/>
    <w:tmpl w:val="70EA53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3D6821"/>
    <w:multiLevelType w:val="multilevel"/>
    <w:tmpl w:val="2B26A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0C038B"/>
    <w:multiLevelType w:val="hybridMultilevel"/>
    <w:tmpl w:val="AAE6B8F8"/>
    <w:lvl w:ilvl="0" w:tplc="9BC8E7D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52A54"/>
    <w:multiLevelType w:val="hybridMultilevel"/>
    <w:tmpl w:val="164A69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C85266"/>
    <w:multiLevelType w:val="hybridMultilevel"/>
    <w:tmpl w:val="9C8EA4E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76B0A4B"/>
    <w:multiLevelType w:val="hybridMultilevel"/>
    <w:tmpl w:val="0D968284"/>
    <w:lvl w:ilvl="0" w:tplc="080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</w:abstractNum>
  <w:abstractNum w:abstractNumId="10" w15:restartNumberingAfterBreak="0">
    <w:nsid w:val="7E9C67DD"/>
    <w:multiLevelType w:val="hybridMultilevel"/>
    <w:tmpl w:val="875C6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3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97"/>
    <w:rsid w:val="00011A3C"/>
    <w:rsid w:val="00012159"/>
    <w:rsid w:val="000450E4"/>
    <w:rsid w:val="00065D20"/>
    <w:rsid w:val="00067805"/>
    <w:rsid w:val="00067C73"/>
    <w:rsid w:val="00093F5E"/>
    <w:rsid w:val="0009706C"/>
    <w:rsid w:val="000E63EC"/>
    <w:rsid w:val="000F5031"/>
    <w:rsid w:val="00100E27"/>
    <w:rsid w:val="001016E8"/>
    <w:rsid w:val="00116FB0"/>
    <w:rsid w:val="00133134"/>
    <w:rsid w:val="001360F2"/>
    <w:rsid w:val="00136DFE"/>
    <w:rsid w:val="001373B3"/>
    <w:rsid w:val="00140E8A"/>
    <w:rsid w:val="00145FB9"/>
    <w:rsid w:val="00154051"/>
    <w:rsid w:val="00156D90"/>
    <w:rsid w:val="00163EB5"/>
    <w:rsid w:val="0016532B"/>
    <w:rsid w:val="00165A82"/>
    <w:rsid w:val="0016601F"/>
    <w:rsid w:val="00172F7C"/>
    <w:rsid w:val="00173AF5"/>
    <w:rsid w:val="00186643"/>
    <w:rsid w:val="001948E9"/>
    <w:rsid w:val="00197A0E"/>
    <w:rsid w:val="00197D19"/>
    <w:rsid w:val="001C07FF"/>
    <w:rsid w:val="001C0A2B"/>
    <w:rsid w:val="001C0D47"/>
    <w:rsid w:val="001C381A"/>
    <w:rsid w:val="001D6A1A"/>
    <w:rsid w:val="001E4B97"/>
    <w:rsid w:val="001F6F6E"/>
    <w:rsid w:val="002015CF"/>
    <w:rsid w:val="0021006E"/>
    <w:rsid w:val="002127F4"/>
    <w:rsid w:val="00217634"/>
    <w:rsid w:val="00230E3C"/>
    <w:rsid w:val="00246590"/>
    <w:rsid w:val="00246811"/>
    <w:rsid w:val="00252BBF"/>
    <w:rsid w:val="00286B48"/>
    <w:rsid w:val="00290694"/>
    <w:rsid w:val="002A347E"/>
    <w:rsid w:val="002A5F2F"/>
    <w:rsid w:val="002B2FD7"/>
    <w:rsid w:val="002C384A"/>
    <w:rsid w:val="002C71F7"/>
    <w:rsid w:val="002D0111"/>
    <w:rsid w:val="002D2541"/>
    <w:rsid w:val="002E777F"/>
    <w:rsid w:val="00301277"/>
    <w:rsid w:val="003059F0"/>
    <w:rsid w:val="00305B16"/>
    <w:rsid w:val="003209DE"/>
    <w:rsid w:val="003314AD"/>
    <w:rsid w:val="0033354E"/>
    <w:rsid w:val="0033788E"/>
    <w:rsid w:val="00353411"/>
    <w:rsid w:val="003537F1"/>
    <w:rsid w:val="00353A0D"/>
    <w:rsid w:val="0039072E"/>
    <w:rsid w:val="003A3306"/>
    <w:rsid w:val="003A360B"/>
    <w:rsid w:val="003B04CC"/>
    <w:rsid w:val="003B3500"/>
    <w:rsid w:val="003B5DAF"/>
    <w:rsid w:val="003D01FD"/>
    <w:rsid w:val="003D07B5"/>
    <w:rsid w:val="003D53B0"/>
    <w:rsid w:val="003F37B2"/>
    <w:rsid w:val="003F4BB3"/>
    <w:rsid w:val="00412C2A"/>
    <w:rsid w:val="0042135D"/>
    <w:rsid w:val="0042424E"/>
    <w:rsid w:val="00440B17"/>
    <w:rsid w:val="00440FAC"/>
    <w:rsid w:val="00443385"/>
    <w:rsid w:val="004465D7"/>
    <w:rsid w:val="00453C9A"/>
    <w:rsid w:val="00455F17"/>
    <w:rsid w:val="004566F0"/>
    <w:rsid w:val="0046184D"/>
    <w:rsid w:val="004823E4"/>
    <w:rsid w:val="004864CB"/>
    <w:rsid w:val="00487E9C"/>
    <w:rsid w:val="0049463A"/>
    <w:rsid w:val="004A0508"/>
    <w:rsid w:val="004A19E3"/>
    <w:rsid w:val="004A4E9C"/>
    <w:rsid w:val="004C1ACA"/>
    <w:rsid w:val="004D37CC"/>
    <w:rsid w:val="004D466C"/>
    <w:rsid w:val="004D59DB"/>
    <w:rsid w:val="00505732"/>
    <w:rsid w:val="00522333"/>
    <w:rsid w:val="0052308A"/>
    <w:rsid w:val="0052406B"/>
    <w:rsid w:val="0052600A"/>
    <w:rsid w:val="005411B8"/>
    <w:rsid w:val="00586218"/>
    <w:rsid w:val="00587B08"/>
    <w:rsid w:val="00593B9B"/>
    <w:rsid w:val="005A0080"/>
    <w:rsid w:val="005C5BB7"/>
    <w:rsid w:val="005D0F82"/>
    <w:rsid w:val="005D5ED7"/>
    <w:rsid w:val="005E0932"/>
    <w:rsid w:val="005E70F8"/>
    <w:rsid w:val="005F08A6"/>
    <w:rsid w:val="005F2EA0"/>
    <w:rsid w:val="005F3370"/>
    <w:rsid w:val="006032CC"/>
    <w:rsid w:val="006053ED"/>
    <w:rsid w:val="00612ED8"/>
    <w:rsid w:val="006158F4"/>
    <w:rsid w:val="00636B02"/>
    <w:rsid w:val="006402EC"/>
    <w:rsid w:val="006514A5"/>
    <w:rsid w:val="0066501B"/>
    <w:rsid w:val="00685CA9"/>
    <w:rsid w:val="006904D6"/>
    <w:rsid w:val="006A0BA1"/>
    <w:rsid w:val="006A1BDA"/>
    <w:rsid w:val="006A4481"/>
    <w:rsid w:val="006B123F"/>
    <w:rsid w:val="006B6E4A"/>
    <w:rsid w:val="006C205B"/>
    <w:rsid w:val="006D3E78"/>
    <w:rsid w:val="006D4D7C"/>
    <w:rsid w:val="006E03B0"/>
    <w:rsid w:val="006E41C6"/>
    <w:rsid w:val="00707DBE"/>
    <w:rsid w:val="007223AB"/>
    <w:rsid w:val="007331E7"/>
    <w:rsid w:val="007357D2"/>
    <w:rsid w:val="00741F53"/>
    <w:rsid w:val="007637A3"/>
    <w:rsid w:val="0076417D"/>
    <w:rsid w:val="00774A3D"/>
    <w:rsid w:val="00774B0B"/>
    <w:rsid w:val="00777009"/>
    <w:rsid w:val="00794E0A"/>
    <w:rsid w:val="007A035B"/>
    <w:rsid w:val="007A6515"/>
    <w:rsid w:val="007B0B7D"/>
    <w:rsid w:val="007C3AEF"/>
    <w:rsid w:val="007D677B"/>
    <w:rsid w:val="007F090E"/>
    <w:rsid w:val="007F0CC6"/>
    <w:rsid w:val="007F60FF"/>
    <w:rsid w:val="00801C56"/>
    <w:rsid w:val="0080581A"/>
    <w:rsid w:val="00811C6A"/>
    <w:rsid w:val="00835380"/>
    <w:rsid w:val="00837C56"/>
    <w:rsid w:val="00861358"/>
    <w:rsid w:val="00862037"/>
    <w:rsid w:val="00864191"/>
    <w:rsid w:val="00873071"/>
    <w:rsid w:val="008765DA"/>
    <w:rsid w:val="0088687C"/>
    <w:rsid w:val="008933F2"/>
    <w:rsid w:val="008952C5"/>
    <w:rsid w:val="008A54B2"/>
    <w:rsid w:val="008A6C42"/>
    <w:rsid w:val="008C273B"/>
    <w:rsid w:val="008C276C"/>
    <w:rsid w:val="008D4982"/>
    <w:rsid w:val="00925068"/>
    <w:rsid w:val="00925CBE"/>
    <w:rsid w:val="00947AE3"/>
    <w:rsid w:val="00950F08"/>
    <w:rsid w:val="00965AC9"/>
    <w:rsid w:val="00971030"/>
    <w:rsid w:val="009A293B"/>
    <w:rsid w:val="009A3878"/>
    <w:rsid w:val="009A6D86"/>
    <w:rsid w:val="009C6C85"/>
    <w:rsid w:val="009D5B22"/>
    <w:rsid w:val="009F2139"/>
    <w:rsid w:val="00A0427E"/>
    <w:rsid w:val="00A1570A"/>
    <w:rsid w:val="00A43E82"/>
    <w:rsid w:val="00A545FE"/>
    <w:rsid w:val="00A71340"/>
    <w:rsid w:val="00A73518"/>
    <w:rsid w:val="00A8207B"/>
    <w:rsid w:val="00A9280A"/>
    <w:rsid w:val="00A94303"/>
    <w:rsid w:val="00AA6C59"/>
    <w:rsid w:val="00AC63C8"/>
    <w:rsid w:val="00AD5D63"/>
    <w:rsid w:val="00AE33A0"/>
    <w:rsid w:val="00AF11FF"/>
    <w:rsid w:val="00AF79AA"/>
    <w:rsid w:val="00B0773F"/>
    <w:rsid w:val="00B25379"/>
    <w:rsid w:val="00B37146"/>
    <w:rsid w:val="00B371BB"/>
    <w:rsid w:val="00B51A68"/>
    <w:rsid w:val="00B523B5"/>
    <w:rsid w:val="00B8607C"/>
    <w:rsid w:val="00B969AD"/>
    <w:rsid w:val="00BA0A18"/>
    <w:rsid w:val="00BA0F21"/>
    <w:rsid w:val="00BB356F"/>
    <w:rsid w:val="00BC6CDB"/>
    <w:rsid w:val="00BE73B3"/>
    <w:rsid w:val="00BF1C96"/>
    <w:rsid w:val="00BF6847"/>
    <w:rsid w:val="00C010FD"/>
    <w:rsid w:val="00C13082"/>
    <w:rsid w:val="00C4334E"/>
    <w:rsid w:val="00C51915"/>
    <w:rsid w:val="00C5392A"/>
    <w:rsid w:val="00C5677C"/>
    <w:rsid w:val="00C572B3"/>
    <w:rsid w:val="00C65C75"/>
    <w:rsid w:val="00C81F84"/>
    <w:rsid w:val="00C94863"/>
    <w:rsid w:val="00CA0AE3"/>
    <w:rsid w:val="00CA28B0"/>
    <w:rsid w:val="00CA4B34"/>
    <w:rsid w:val="00CD10FA"/>
    <w:rsid w:val="00CD77D2"/>
    <w:rsid w:val="00CF2A56"/>
    <w:rsid w:val="00D1135A"/>
    <w:rsid w:val="00D27EC1"/>
    <w:rsid w:val="00D57C49"/>
    <w:rsid w:val="00D67843"/>
    <w:rsid w:val="00D8479F"/>
    <w:rsid w:val="00D956E4"/>
    <w:rsid w:val="00DB32AC"/>
    <w:rsid w:val="00DB58D6"/>
    <w:rsid w:val="00DC2A5A"/>
    <w:rsid w:val="00DD1499"/>
    <w:rsid w:val="00DD4660"/>
    <w:rsid w:val="00E03014"/>
    <w:rsid w:val="00E1359B"/>
    <w:rsid w:val="00E207DA"/>
    <w:rsid w:val="00E33556"/>
    <w:rsid w:val="00E40304"/>
    <w:rsid w:val="00E81CB8"/>
    <w:rsid w:val="00E96A15"/>
    <w:rsid w:val="00EA5A73"/>
    <w:rsid w:val="00EC1B27"/>
    <w:rsid w:val="00EC3B8D"/>
    <w:rsid w:val="00F02DDC"/>
    <w:rsid w:val="00F25861"/>
    <w:rsid w:val="00F2680F"/>
    <w:rsid w:val="00F350CD"/>
    <w:rsid w:val="00F415BB"/>
    <w:rsid w:val="00F41F4E"/>
    <w:rsid w:val="00F47E74"/>
    <w:rsid w:val="00F5724D"/>
    <w:rsid w:val="00F735F3"/>
    <w:rsid w:val="00F94035"/>
    <w:rsid w:val="00FA3892"/>
    <w:rsid w:val="00FA710E"/>
    <w:rsid w:val="00FB38F4"/>
    <w:rsid w:val="00FC4768"/>
    <w:rsid w:val="00FC7259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36FC2"/>
  <w15:docId w15:val="{5F29DD6E-416E-42AA-A8F7-3EC9F5C2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F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E4B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4B97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E4B97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1E4B9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73B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73B3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6032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23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3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3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3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3E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0F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41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12C2A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411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A8207B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1BDA"/>
    <w:rPr>
      <w:color w:val="605E5C"/>
      <w:shd w:val="clear" w:color="auto" w:fill="E1DFDD"/>
    </w:rPr>
  </w:style>
  <w:style w:type="paragraph" w:customStyle="1" w:styleId="Default">
    <w:name w:val="Default"/>
    <w:rsid w:val="00E207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6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6255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kacije.stat.gov.rs/G2019/Pdf/G2019600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sjp.gov.rs/kalkulat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vreda.gov.rs/wp-content/uploads/2019/01/Izvestaj_MSPP_2017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sites/info/files/file_import/better-regulation-toolbox-22_en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9344E58-C6B7-4154-9AA9-74FA814CB27C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70315-2236-4C52-8FFA-3B48D4CB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Radulovic</dc:creator>
  <cp:lastModifiedBy>Marko Urošević</cp:lastModifiedBy>
  <cp:revision>6</cp:revision>
  <dcterms:created xsi:type="dcterms:W3CDTF">2019-06-19T06:46:00Z</dcterms:created>
  <dcterms:modified xsi:type="dcterms:W3CDTF">2020-08-07T07:34:00Z</dcterms:modified>
</cp:coreProperties>
</file>